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numPr>
          <w:ilvl w:val="0"/>
          <w:numId w:val="0"/>
        </w:numPr>
        <w:spacing w:before="240" w:after="240"/>
        <w:ind w:hanging="0" w:left="0"/>
        <w:jc w:val="center"/>
        <w:rPr>
          <w:rFonts w:ascii="Times New Roman" w:hAnsi="Times New Roman"/>
          <w:iCs/>
          <w:sz w:val="28"/>
          <w:szCs w:val="28"/>
          <w:lang w:val="en-GB"/>
        </w:rPr>
      </w:pPr>
      <w:bookmarkStart w:id="0" w:name="_Toc42488096"/>
      <w:r>
        <w:rPr>
          <w:rFonts w:ascii="Times New Roman" w:hAnsi="Times New Roman"/>
          <w:iCs/>
          <w:sz w:val="28"/>
          <w:szCs w:val="28"/>
          <w:lang w:val="en-GB"/>
        </w:rPr>
        <w:t>SPECIAL CONDITIONS</w:t>
      </w:r>
      <w:bookmarkEnd w:id="0"/>
      <w:r>
        <w:rPr>
          <w:rFonts w:ascii="Times New Roman" w:hAnsi="Times New Roman"/>
          <w:iCs/>
          <w:sz w:val="28"/>
          <w:szCs w:val="28"/>
          <w:lang w:val="en-GB"/>
        </w:rPr>
        <w:t xml:space="preserve"> FOR EUROPEAN UNION EXTERNAL ACTIONS</w:t>
      </w:r>
    </w:p>
    <w:p>
      <w:pPr>
        <w:pStyle w:val="Normal"/>
        <w:numPr>
          <w:ilvl w:val="0"/>
          <w:numId w:val="0"/>
        </w:numPr>
        <w:spacing w:before="240" w:after="120"/>
        <w:ind w:hanging="567" w:left="567"/>
        <w:outlineLvl w:val="0"/>
        <w:rPr>
          <w:rFonts w:ascii="Times New Roman Bold" w:hAnsi="Times New Roman Bold"/>
          <w:b/>
          <w:smallCaps/>
          <w:sz w:val="28"/>
          <w:szCs w:val="28"/>
        </w:rPr>
      </w:pPr>
      <w:r>
        <w:rPr>
          <w:rFonts w:ascii="Times New Roman Bold" w:hAnsi="Times New Roman Bold"/>
          <w:b/>
          <w:smallCaps/>
          <w:sz w:val="28"/>
          <w:szCs w:val="28"/>
        </w:rPr>
        <w:t>Contents</w:t>
      </w:r>
    </w:p>
    <w:p>
      <w:pPr>
        <w:pStyle w:val="Normal"/>
        <w:jc w:val="both"/>
        <w:rPr>
          <w:rFonts w:ascii="Times New Roman" w:hAnsi="Times New Roman"/>
          <w:sz w:val="22"/>
          <w:szCs w:val="22"/>
        </w:rPr>
      </w:pPr>
      <w:r>
        <w:rPr>
          <w:rFonts w:ascii="Times New Roman" w:hAnsi="Times New Roman"/>
          <w:sz w:val="22"/>
          <w:szCs w:val="22"/>
        </w:rPr>
        <w:t xml:space="preserve">These conditions amplify and supplement the general conditions governing the contract. Unless the special conditions provide otherwise, those general conditions remain fully applicable. The numbering of the articles of the special conditions is not consecutive but follows the numbering of the articles of the general </w:t>
      </w:r>
      <w:bookmarkStart w:id="1" w:name="_Hlk132980891"/>
      <w:r>
        <w:rPr>
          <w:rFonts w:ascii="Times New Roman" w:hAnsi="Times New Roman"/>
          <w:sz w:val="22"/>
          <w:szCs w:val="22"/>
        </w:rPr>
        <w:t xml:space="preserve">conditions. Exceptionally, and with the approval of the competent European Commission departments, other clauses can be indicated to cover particular situations. </w:t>
      </w:r>
      <w:bookmarkEnd w:id="1"/>
    </w:p>
    <w:p>
      <w:pPr>
        <w:pStyle w:val="Normal"/>
        <w:numPr>
          <w:ilvl w:val="0"/>
          <w:numId w:val="0"/>
        </w:numPr>
        <w:ind w:hanging="0" w:left="0"/>
        <w:outlineLvl w:val="0"/>
        <w:rPr>
          <w:rFonts w:ascii="Times New Roman" w:hAnsi="Times New Roman"/>
          <w:b/>
          <w:sz w:val="24"/>
          <w:szCs w:val="24"/>
        </w:rPr>
      </w:pPr>
      <w:r>
        <w:rPr>
          <w:rFonts w:ascii="Times New Roman" w:hAnsi="Times New Roman"/>
          <w:b/>
          <w:sz w:val="24"/>
          <w:szCs w:val="24"/>
        </w:rPr>
        <w:t>The subject of the contract shall be:</w:t>
      </w:r>
    </w:p>
    <w:p>
      <w:pPr>
        <w:pStyle w:val="Normal"/>
        <w:spacing w:before="0" w:after="120"/>
        <w:jc w:val="both"/>
        <w:rPr>
          <w:rFonts w:ascii="Times New Roman" w:hAnsi="Times New Roman"/>
          <w:sz w:val="22"/>
        </w:rPr>
      </w:pPr>
      <w:r>
        <w:rPr>
          <w:rFonts w:ascii="Times New Roman" w:hAnsi="Times New Roman"/>
          <w:sz w:val="22"/>
        </w:rPr>
        <w:t xml:space="preserve">the supply, delivery, unloading, commissioning, </w:t>
      </w:r>
    </w:p>
    <w:p>
      <w:pPr>
        <w:pStyle w:val="Normal"/>
        <w:spacing w:before="0" w:after="120"/>
        <w:jc w:val="both"/>
        <w:rPr>
          <w:rFonts w:ascii="Times New Roman" w:hAnsi="Times New Roman"/>
          <w:sz w:val="22"/>
        </w:rPr>
      </w:pPr>
      <w:r>
        <w:rPr>
          <w:rFonts w:ascii="Times New Roman" w:hAnsi="Times New Roman"/>
          <w:sz w:val="22"/>
        </w:rPr>
        <w:t>of the following supplies:</w:t>
      </w:r>
    </w:p>
    <w:p>
      <w:pPr>
        <w:pStyle w:val="Normal"/>
        <w:numPr>
          <w:ilvl w:val="0"/>
          <w:numId w:val="8"/>
        </w:numPr>
        <w:spacing w:before="0" w:after="120"/>
        <w:jc w:val="both"/>
        <w:rPr>
          <w:rFonts w:ascii="Times New Roman" w:hAnsi="Times New Roman"/>
          <w:sz w:val="22"/>
        </w:rPr>
      </w:pPr>
      <w:r>
        <w:rPr>
          <w:rFonts w:ascii="Times New Roman" w:hAnsi="Times New Roman"/>
          <w:lang w:val="en-US" w:eastAsia="mk-MK"/>
        </w:rPr>
        <w:t>Facility Otoshnica</w:t>
      </w:r>
    </w:p>
    <w:tbl>
      <w:tblPr>
        <w:tblW w:w="8692"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7364"/>
        <w:gridCol w:w="618"/>
        <w:gridCol w:w="710"/>
      </w:tblGrid>
      <w:tr>
        <w:trPr>
          <w:trHeight w:val="567" w:hRule="atLeast"/>
        </w:trPr>
        <w:tc>
          <w:tcPr>
            <w:tcW w:w="73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dining chairs with backrests for the dining room. Color of the Investor's choice.</w:t>
            </w:r>
          </w:p>
        </w:tc>
        <w:tc>
          <w:tcPr>
            <w:tcW w:w="618" w:type="dxa"/>
            <w:tcBorders>
              <w:top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top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12,00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chairs with backrests for the desks in the bedrooms. Color of the Investor's choice.</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7,00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 desk/desk in the bedrooms, with drawers on one side 120cm/60cm. Color of the Investor's choice.</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4,00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wardrobes in the bedrooms 60/120cm, with doors, made of high-quality chipboard. Height 210cm. Color of the Investor's choice.</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8,00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single beds 90/200, complete with frame and mattress.</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8,00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dining tables, 80/80cm, made of high-quality chipboard.</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4,00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kitchen elements, made of high-quality chipboard, with all necessary elements and mechanisms. Total dimensions length: 240cm width 60cm.</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 small refrigerator in the kitchenette</w:t>
              <w:br/>
              <w:t>DIMENSIONS (W X D X H): 48 X 56 X 84 CM</w:t>
              <w:br/>
              <w:t>FRIDGE TOTAL CAPACITY 81L FRIDGE CAPACITY 73L FREEZER CAPACITY 8L ENERGY EFFICIENCY at least A +</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 sink element in a small kitchen, together with a faucet set, Sink, Chrome / gloss, For installation, Dimensions (LxWxH): 19x48x0.06cm</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 and installation of a 2-burner hob element, inox.</w:t>
              <w:br/>
              <w:t>Independent electric hob, 2 Heating zones, Front controls, On/Off indicator</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Purchase of an electric kettle, Power: 2200W, Capacity: 1.8L, On/Off indicator, 360º base, Automatic shut-off</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 TV set</w:t>
              <w:br/>
              <w:t>DIAGONAL: 49 "/ 124 CM</w:t>
              <w:br/>
              <w:t>MAXIMUM RESOLUTION: 1920 X 1080 (FULL HD) OPERATING SYSTEM: ANDROID</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1,00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auxiliary tables in corridor 105/65. Made of high-quality chipboard, in the color of the investor's choice.</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3,00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two-seaters in the hallway with dimensions 155/80cm and color of the investor's choice.</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3,00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toilet bowls complete with cistern for the toilet cubicles along with all included materials. The position also includes wall-mounted toilet paper holders.</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6,00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washbasins in the toilets, along with all related materials. The position also includes the installation of mirrors above the washbasins.</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6,00</w:t>
            </w:r>
          </w:p>
        </w:tc>
      </w:tr>
      <w:tr>
        <w:trPr>
          <w:trHeight w:val="567" w:hRule="atLeast"/>
        </w:trPr>
        <w:tc>
          <w:tcPr>
            <w:tcW w:w="736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shower cabins in the bathrooms, along with all related materials. The position also includes the installation of mirrors above the sinks.</w:t>
            </w:r>
          </w:p>
        </w:tc>
        <w:tc>
          <w:tcPr>
            <w:tcW w:w="618"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piece</w:t>
            </w:r>
          </w:p>
        </w:tc>
        <w:tc>
          <w:tcPr>
            <w:tcW w:w="710" w:type="dxa"/>
            <w:tcBorders>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4,00</w:t>
            </w:r>
          </w:p>
        </w:tc>
      </w:tr>
    </w:tbl>
    <w:p>
      <w:pPr>
        <w:pStyle w:val="ListParagraph"/>
        <w:widowControl w:val="false"/>
        <w:numPr>
          <w:ilvl w:val="0"/>
          <w:numId w:val="8"/>
        </w:numPr>
        <w:spacing w:lineRule="auto" w:line="312"/>
        <w:rPr>
          <w:rFonts w:ascii="Times New Roman" w:hAnsi="Times New Roman"/>
          <w:bCs/>
          <w:color w:val="000000"/>
        </w:rPr>
      </w:pPr>
      <w:r>
        <w:rPr>
          <w:rFonts w:ascii="Times New Roman" w:hAnsi="Times New Roman"/>
          <w:lang w:eastAsia="mk-MK"/>
        </w:rPr>
        <w:t>Facility Patralica</w:t>
      </w:r>
    </w:p>
    <w:tbl>
      <w:tblPr>
        <w:tblW w:w="8642"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7356"/>
        <w:gridCol w:w="598"/>
        <w:gridCol w:w="688"/>
      </w:tblGrid>
      <w:tr>
        <w:trPr>
          <w:trHeight w:val="567" w:hRule="atLeast"/>
        </w:trPr>
        <w:tc>
          <w:tcPr>
            <w:tcW w:w="73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office chairs with backrests for the office. Color of the Investor's choice.</w:t>
            </w:r>
          </w:p>
        </w:tc>
        <w:tc>
          <w:tcPr>
            <w:tcW w:w="598" w:type="dxa"/>
            <w:tcBorders>
              <w:top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top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3</w:t>
            </w:r>
          </w:p>
        </w:tc>
      </w:tr>
      <w:tr>
        <w:trPr>
          <w:trHeight w:val="567" w:hRule="atLeast"/>
        </w:trPr>
        <w:tc>
          <w:tcPr>
            <w:tcW w:w="735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chairs for the tables in the memorial room, with backrests. Color of the Investor's choice.</w:t>
            </w:r>
          </w:p>
        </w:tc>
        <w:tc>
          <w:tcPr>
            <w:tcW w:w="59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8</w:t>
            </w:r>
          </w:p>
        </w:tc>
      </w:tr>
      <w:tr>
        <w:trPr>
          <w:trHeight w:val="567" w:hRule="atLeast"/>
        </w:trPr>
        <w:tc>
          <w:tcPr>
            <w:tcW w:w="735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an office table/desk in the office, with drawers on one side 150cm/70cm. Color of the Investor's choice.</w:t>
            </w:r>
          </w:p>
        </w:tc>
        <w:tc>
          <w:tcPr>
            <w:tcW w:w="59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1</w:t>
            </w:r>
          </w:p>
        </w:tc>
      </w:tr>
      <w:tr>
        <w:trPr>
          <w:trHeight w:val="567" w:hRule="atLeast"/>
        </w:trPr>
        <w:tc>
          <w:tcPr>
            <w:tcW w:w="735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 and installation of wardrobes in the changing rooms 40/180cm, with door panels, made of high-quality chipboard. Height 210cm. Color of the Investor's choice.</w:t>
            </w:r>
          </w:p>
        </w:tc>
        <w:tc>
          <w:tcPr>
            <w:tcW w:w="59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8</w:t>
            </w:r>
          </w:p>
        </w:tc>
      </w:tr>
      <w:tr>
        <w:trPr>
          <w:trHeight w:val="567" w:hRule="atLeast"/>
        </w:trPr>
        <w:tc>
          <w:tcPr>
            <w:tcW w:w="735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 cabinet along the entire length of the wall in the memorial room, made of high-quality chipboard. Height 210cm. Color of the investor's choice. Color of the investor's choice.</w:t>
            </w:r>
          </w:p>
        </w:tc>
        <w:tc>
          <w:tcPr>
            <w:tcW w:w="59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1</w:t>
            </w:r>
          </w:p>
        </w:tc>
      </w:tr>
      <w:tr>
        <w:trPr>
          <w:trHeight w:val="567" w:hRule="atLeast"/>
        </w:trPr>
        <w:tc>
          <w:tcPr>
            <w:tcW w:w="735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auxiliary tables in the office and hallway 105/65. Made of high-quality chipboard, in the color of the investor's choice.</w:t>
            </w:r>
          </w:p>
        </w:tc>
        <w:tc>
          <w:tcPr>
            <w:tcW w:w="59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3</w:t>
            </w:r>
          </w:p>
        </w:tc>
      </w:tr>
      <w:tr>
        <w:trPr>
          <w:trHeight w:val="567" w:hRule="atLeast"/>
        </w:trPr>
        <w:tc>
          <w:tcPr>
            <w:tcW w:w="735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two-seater sofas in the hallway and office. (4 in the hallway and 1 in the office) with dimensions 155/80cm and color of the investor's choice.</w:t>
            </w:r>
          </w:p>
        </w:tc>
        <w:tc>
          <w:tcPr>
            <w:tcW w:w="59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5</w:t>
            </w:r>
          </w:p>
        </w:tc>
      </w:tr>
      <w:tr>
        <w:trPr>
          <w:trHeight w:val="567" w:hRule="atLeast"/>
        </w:trPr>
        <w:tc>
          <w:tcPr>
            <w:tcW w:w="735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toilet bowls complete with cistern for the toilet cubicles along with all included materials. The position also includes wall-mounted toilet paper holders.</w:t>
            </w:r>
          </w:p>
        </w:tc>
        <w:tc>
          <w:tcPr>
            <w:tcW w:w="59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3</w:t>
            </w:r>
          </w:p>
        </w:tc>
      </w:tr>
      <w:tr>
        <w:trPr>
          <w:trHeight w:val="567" w:hRule="atLeast"/>
        </w:trPr>
        <w:tc>
          <w:tcPr>
            <w:tcW w:w="735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sz w:val="18"/>
                <w:szCs w:val="18"/>
                <w:lang w:val="en-US" w:eastAsia="mk-MK"/>
              </w:rPr>
            </w:pPr>
            <w:r>
              <w:rPr>
                <w:rFonts w:ascii="Times New Roman" w:hAnsi="Times New Roman"/>
                <w:sz w:val="18"/>
                <w:szCs w:val="18"/>
                <w:lang w:val="en-US" w:eastAsia="mk-MK"/>
              </w:rPr>
              <w:t>Procurement, transportation and installation of washbasins in the toilets, along with all related materials. The position also includes the installation of mirrors above the washbasins.</w:t>
            </w:r>
          </w:p>
        </w:tc>
        <w:tc>
          <w:tcPr>
            <w:tcW w:w="59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piece</w:t>
            </w:r>
          </w:p>
        </w:tc>
        <w:tc>
          <w:tcPr>
            <w:tcW w:w="68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sz w:val="18"/>
                <w:szCs w:val="18"/>
                <w:lang w:val="en-US" w:eastAsia="mk-MK"/>
              </w:rPr>
            </w:pPr>
            <w:r>
              <w:rPr>
                <w:rFonts w:ascii="Times New Roman" w:hAnsi="Times New Roman"/>
                <w:sz w:val="18"/>
                <w:szCs w:val="18"/>
                <w:lang w:val="en-US" w:eastAsia="mk-MK"/>
              </w:rPr>
              <w:t>2</w:t>
            </w:r>
          </w:p>
        </w:tc>
      </w:tr>
    </w:tbl>
    <w:p>
      <w:pPr>
        <w:pStyle w:val="ListParagraph"/>
        <w:widowControl w:val="false"/>
        <w:spacing w:lineRule="auto" w:line="312"/>
        <w:ind w:left="0"/>
        <w:rPr>
          <w:rFonts w:ascii="Times New Roman" w:hAnsi="Times New Roman"/>
          <w:bCs/>
          <w:color w:val="000000"/>
        </w:rPr>
      </w:pPr>
      <w:r>
        <w:rPr>
          <w:rFonts w:ascii="Times New Roman" w:hAnsi="Times New Roman"/>
          <w:bCs/>
          <w:color w:val="000000"/>
        </w:rPr>
      </w:r>
    </w:p>
    <w:p>
      <w:pPr>
        <w:pStyle w:val="Normal"/>
        <w:numPr>
          <w:ilvl w:val="0"/>
          <w:numId w:val="0"/>
        </w:numPr>
        <w:spacing w:before="240" w:after="120"/>
        <w:ind w:hanging="0" w:left="0"/>
        <w:outlineLvl w:val="0"/>
        <w:rPr>
          <w:rFonts w:ascii="Times New Roman" w:hAnsi="Times New Roman"/>
          <w:b/>
          <w:sz w:val="24"/>
          <w:szCs w:val="24"/>
        </w:rPr>
      </w:pPr>
      <w:bookmarkStart w:id="2" w:name="_Hlk132980677"/>
      <w:r>
        <w:rPr>
          <w:rFonts w:ascii="Times New Roman" w:hAnsi="Times New Roman"/>
          <w:b/>
          <w:sz w:val="24"/>
          <w:szCs w:val="24"/>
        </w:rPr>
        <w:t>Order of precedence of contract documents</w:t>
      </w:r>
      <w:bookmarkEnd w:id="2"/>
    </w:p>
    <w:p>
      <w:pPr>
        <w:pStyle w:val="Normal"/>
        <w:spacing w:before="0" w:after="120"/>
        <w:rPr>
          <w:rFonts w:ascii="Times New Roman" w:hAnsi="Times New Roman"/>
          <w:sz w:val="22"/>
          <w:szCs w:val="22"/>
        </w:rPr>
      </w:pPr>
      <w:r>
        <w:rPr>
          <w:rFonts w:ascii="Times New Roman" w:hAnsi="Times New Roman"/>
          <w:sz w:val="22"/>
          <w:szCs w:val="22"/>
        </w:rPr>
        <w:t>The following documents shall be deemed to form and be read and construed as part of this contract, in the following order of precedence:</w:t>
      </w:r>
    </w:p>
    <w:p>
      <w:pPr>
        <w:pStyle w:val="Normal"/>
        <w:numPr>
          <w:ilvl w:val="0"/>
          <w:numId w:val="2"/>
        </w:numPr>
        <w:tabs>
          <w:tab w:val="clear" w:pos="720"/>
        </w:tabs>
        <w:spacing w:before="0" w:after="80"/>
        <w:ind w:hanging="425" w:left="709"/>
        <w:jc w:val="both"/>
        <w:rPr>
          <w:rFonts w:ascii="Times New Roman" w:hAnsi="Times New Roman"/>
          <w:sz w:val="22"/>
        </w:rPr>
      </w:pPr>
      <w:r>
        <w:rPr>
          <w:rFonts w:ascii="Times New Roman" w:hAnsi="Times New Roman"/>
          <w:sz w:val="22"/>
        </w:rPr>
        <w:t>the main conditions;</w:t>
      </w:r>
    </w:p>
    <w:p>
      <w:pPr>
        <w:pStyle w:val="Normal"/>
        <w:numPr>
          <w:ilvl w:val="0"/>
          <w:numId w:val="2"/>
        </w:numPr>
        <w:tabs>
          <w:tab w:val="clear" w:pos="720"/>
        </w:tabs>
        <w:spacing w:before="0" w:after="80"/>
        <w:ind w:hanging="425" w:left="709"/>
        <w:jc w:val="both"/>
        <w:rPr>
          <w:rFonts w:ascii="Times New Roman" w:hAnsi="Times New Roman"/>
          <w:sz w:val="22"/>
        </w:rPr>
      </w:pPr>
      <w:r>
        <w:rPr>
          <w:rFonts w:ascii="Times New Roman" w:hAnsi="Times New Roman"/>
          <w:sz w:val="22"/>
        </w:rPr>
        <w:t>the special conditions;</w:t>
      </w:r>
    </w:p>
    <w:p>
      <w:pPr>
        <w:pStyle w:val="Normal"/>
        <w:numPr>
          <w:ilvl w:val="0"/>
          <w:numId w:val="2"/>
        </w:numPr>
        <w:tabs>
          <w:tab w:val="clear" w:pos="720"/>
        </w:tabs>
        <w:spacing w:before="0" w:after="80"/>
        <w:ind w:hanging="425" w:left="709"/>
        <w:jc w:val="both"/>
        <w:rPr>
          <w:rFonts w:ascii="Times New Roman" w:hAnsi="Times New Roman"/>
          <w:sz w:val="22"/>
        </w:rPr>
      </w:pPr>
      <w:r>
        <w:rPr>
          <w:rFonts w:ascii="Times New Roman" w:hAnsi="Times New Roman"/>
          <w:sz w:val="22"/>
        </w:rPr>
        <w:t>the general conditions (Annex I);</w:t>
      </w:r>
    </w:p>
    <w:p>
      <w:pPr>
        <w:pStyle w:val="Normal"/>
        <w:numPr>
          <w:ilvl w:val="0"/>
          <w:numId w:val="2"/>
        </w:numPr>
        <w:tabs>
          <w:tab w:val="clear" w:pos="720"/>
        </w:tabs>
        <w:spacing w:before="0" w:after="80"/>
        <w:ind w:hanging="425" w:left="709"/>
        <w:jc w:val="both"/>
        <w:rPr>
          <w:rFonts w:ascii="Times New Roman" w:hAnsi="Times New Roman"/>
          <w:sz w:val="22"/>
        </w:rPr>
      </w:pPr>
      <w:r>
        <w:rPr>
          <w:rFonts w:ascii="Times New Roman" w:hAnsi="Times New Roman"/>
          <w:sz w:val="22"/>
        </w:rPr>
        <w:t>the technical specifications (Annex II [including clarifications before the deadline for submission of tenders and minutes from the information meeting/site visit];</w:t>
      </w:r>
    </w:p>
    <w:p>
      <w:pPr>
        <w:pStyle w:val="Normal"/>
        <w:numPr>
          <w:ilvl w:val="0"/>
          <w:numId w:val="2"/>
        </w:numPr>
        <w:tabs>
          <w:tab w:val="clear" w:pos="720"/>
        </w:tabs>
        <w:spacing w:before="0" w:after="80"/>
        <w:ind w:hanging="425" w:left="709"/>
        <w:jc w:val="both"/>
        <w:rPr>
          <w:rFonts w:ascii="Times New Roman" w:hAnsi="Times New Roman"/>
          <w:sz w:val="22"/>
        </w:rPr>
      </w:pPr>
      <w:r>
        <w:rPr>
          <w:rFonts w:ascii="Times New Roman" w:hAnsi="Times New Roman"/>
          <w:sz w:val="22"/>
        </w:rPr>
        <w:t>the technical offer (Annex III [</w:t>
      </w:r>
      <w:r>
        <w:rPr>
          <w:rFonts w:ascii="Times New Roman" w:hAnsi="Times New Roman"/>
          <w:sz w:val="22"/>
          <w:highlight w:val="lightGray"/>
        </w:rPr>
        <w:t>including clarifications from the tenderer provided during tender evaluation]);</w:t>
      </w:r>
    </w:p>
    <w:p>
      <w:pPr>
        <w:pStyle w:val="Normal"/>
        <w:numPr>
          <w:ilvl w:val="0"/>
          <w:numId w:val="2"/>
        </w:numPr>
        <w:tabs>
          <w:tab w:val="clear" w:pos="720"/>
        </w:tabs>
        <w:spacing w:before="0" w:after="80"/>
        <w:ind w:hanging="425" w:left="709"/>
        <w:jc w:val="both"/>
        <w:rPr>
          <w:rFonts w:ascii="Times New Roman" w:hAnsi="Times New Roman"/>
          <w:sz w:val="22"/>
        </w:rPr>
      </w:pPr>
      <w:r>
        <w:rPr>
          <w:rFonts w:ascii="Times New Roman" w:hAnsi="Times New Roman"/>
          <w:sz w:val="22"/>
        </w:rPr>
        <w:t>the budget breakdown (Annex IV);</w:t>
      </w:r>
    </w:p>
    <w:p>
      <w:pPr>
        <w:pStyle w:val="Normal"/>
        <w:numPr>
          <w:ilvl w:val="0"/>
          <w:numId w:val="2"/>
        </w:numPr>
        <w:tabs>
          <w:tab w:val="clear" w:pos="720"/>
        </w:tabs>
        <w:spacing w:before="0" w:after="240"/>
        <w:ind w:hanging="425" w:left="709"/>
        <w:jc w:val="both"/>
        <w:rPr>
          <w:rFonts w:ascii="Times New Roman" w:hAnsi="Times New Roman"/>
          <w:sz w:val="22"/>
        </w:rPr>
      </w:pPr>
      <w:r>
        <w:rPr>
          <w:rFonts w:ascii="Times New Roman" w:hAnsi="Times New Roman"/>
          <w:sz w:val="22"/>
        </w:rPr>
        <w:t>specified forms and other relevant documents (Annex V);</w:t>
      </w:r>
    </w:p>
    <w:p>
      <w:pPr>
        <w:pStyle w:val="Normal"/>
        <w:spacing w:before="0" w:after="240"/>
        <w:jc w:val="both"/>
        <w:rPr>
          <w:rFonts w:ascii="Times New Roman" w:hAnsi="Times New Roman"/>
          <w:b/>
          <w:bCs/>
          <w:sz w:val="22"/>
          <w:szCs w:val="22"/>
        </w:rPr>
      </w:pPr>
      <w:r>
        <w:rPr>
          <w:rFonts w:ascii="Times New Roman" w:hAnsi="Times New Roman"/>
          <w:b/>
          <w:bCs/>
          <w:sz w:val="22"/>
        </w:rPr>
        <w:t xml:space="preserve">The various documents making up the contract shall be deemed to be mutually explanatory; in cases of ambiguity or divergence, they shall prevail in the order in which they appear above. </w:t>
      </w:r>
      <w:r>
        <w:rPr>
          <w:rFonts w:ascii="Times New Roman" w:hAnsi="Times New Roman"/>
          <w:b/>
          <w:bCs/>
          <w:sz w:val="22"/>
          <w:szCs w:val="22"/>
        </w:rPr>
        <w:t>Addenda shall have the order of precedence of the document they are amending.</w:t>
      </w:r>
    </w:p>
    <w:p>
      <w:pPr>
        <w:pStyle w:val="Normal"/>
        <w:spacing w:before="0" w:after="120"/>
        <w:ind w:hanging="1134" w:left="1134"/>
        <w:jc w:val="both"/>
        <w:rPr>
          <w:rFonts w:ascii="Times New Roman" w:hAnsi="Times New Roman"/>
          <w:b/>
          <w:sz w:val="24"/>
          <w:szCs w:val="24"/>
        </w:rPr>
      </w:pPr>
      <w:bookmarkStart w:id="3" w:name="_Toc124934896"/>
      <w:r>
        <w:rPr>
          <w:rFonts w:ascii="Times New Roman" w:hAnsi="Times New Roman"/>
          <w:b/>
          <w:sz w:val="24"/>
          <w:szCs w:val="24"/>
        </w:rPr>
        <w:t>Article 2</w:t>
        <w:tab/>
        <w:t>L</w:t>
      </w:r>
      <w:bookmarkEnd w:id="3"/>
      <w:r>
        <w:rPr>
          <w:rFonts w:ascii="Times New Roman" w:hAnsi="Times New Roman"/>
          <w:b/>
          <w:sz w:val="24"/>
          <w:szCs w:val="24"/>
        </w:rPr>
        <w:t>anguage of the contract</w:t>
      </w:r>
    </w:p>
    <w:p>
      <w:pPr>
        <w:pStyle w:val="Normal"/>
        <w:ind w:hanging="567" w:left="1134"/>
        <w:rPr>
          <w:rFonts w:ascii="Times New Roman" w:hAnsi="Times New Roman"/>
          <w:sz w:val="22"/>
          <w:szCs w:val="22"/>
        </w:rPr>
      </w:pPr>
      <w:r>
        <w:rPr>
          <w:rFonts w:ascii="Times New Roman" w:hAnsi="Times New Roman"/>
          <w:sz w:val="22"/>
          <w:szCs w:val="22"/>
        </w:rPr>
        <w:t>2.1</w:t>
        <w:tab/>
        <w:t>The language used shall be English.</w:t>
      </w:r>
    </w:p>
    <w:p>
      <w:pPr>
        <w:pStyle w:val="Normal"/>
        <w:spacing w:before="240" w:after="120"/>
        <w:ind w:hanging="1134" w:left="1134"/>
        <w:jc w:val="both"/>
        <w:rPr>
          <w:rFonts w:ascii="Times New Roman" w:hAnsi="Times New Roman"/>
          <w:b/>
          <w:sz w:val="24"/>
          <w:szCs w:val="24"/>
        </w:rPr>
      </w:pPr>
      <w:bookmarkStart w:id="4" w:name="_Toc124934897"/>
      <w:r>
        <w:rPr>
          <w:rFonts w:ascii="Times New Roman" w:hAnsi="Times New Roman"/>
          <w:b/>
          <w:sz w:val="24"/>
          <w:szCs w:val="24"/>
        </w:rPr>
        <w:t>Article 4</w:t>
        <w:tab/>
        <w:t>Communications</w:t>
      </w:r>
      <w:bookmarkEnd w:id="4"/>
    </w:p>
    <w:p>
      <w:pPr>
        <w:pStyle w:val="Normal"/>
        <w:spacing w:before="0" w:after="120"/>
        <w:ind w:hanging="567" w:left="1134"/>
        <w:jc w:val="both"/>
        <w:rPr>
          <w:rFonts w:ascii="Times New Roman" w:hAnsi="Times New Roman"/>
          <w:b/>
          <w:bCs/>
          <w:sz w:val="22"/>
          <w:szCs w:val="22"/>
        </w:rPr>
      </w:pPr>
      <w:bookmarkStart w:id="5" w:name="_Hlk133420420"/>
      <w:bookmarkEnd w:id="5"/>
      <w:r>
        <w:rPr>
          <w:rFonts w:ascii="Times New Roman" w:hAnsi="Times New Roman"/>
          <w:sz w:val="22"/>
          <w:szCs w:val="22"/>
        </w:rPr>
        <w:t>4.4</w:t>
        <w:tab/>
        <w:t>Communication via electronic exchange system (EES)</w:t>
      </w:r>
      <w:r>
        <w:rPr>
          <w:rFonts w:ascii="Times New Roman" w:hAnsi="Times New Roman"/>
          <w:b/>
          <w:bCs/>
          <w:sz w:val="22"/>
          <w:szCs w:val="22"/>
        </w:rPr>
        <w:t> </w:t>
      </w:r>
    </w:p>
    <w:p>
      <w:pPr>
        <w:pStyle w:val="Normal"/>
        <w:spacing w:before="0" w:after="120"/>
        <w:ind w:left="1134"/>
        <w:jc w:val="both"/>
        <w:rPr>
          <w:rFonts w:ascii="Times New Roman" w:hAnsi="Times New Roman"/>
          <w:sz w:val="22"/>
          <w:szCs w:val="22"/>
        </w:rPr>
      </w:pPr>
      <w:r>
        <w:rPr>
          <w:rFonts w:ascii="Times New Roman" w:hAnsi="Times New Roman"/>
          <w:sz w:val="22"/>
          <w:szCs w:val="22"/>
        </w:rPr>
        <w:t xml:space="preserve">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 </w:t>
      </w:r>
    </w:p>
    <w:p>
      <w:pPr>
        <w:pStyle w:val="Normal"/>
        <w:ind w:hanging="992" w:left="1134"/>
        <w:jc w:val="both"/>
        <w:rPr>
          <w:rFonts w:ascii="Times New Roman" w:hAnsi="Times New Roman"/>
          <w:iCs/>
          <w:sz w:val="22"/>
          <w:szCs w:val="22"/>
        </w:rPr>
      </w:pPr>
      <w:r>
        <w:rPr>
          <w:rFonts w:ascii="Times New Roman" w:hAnsi="Times New Roman"/>
          <w:sz w:val="22"/>
          <w:szCs w:val="22"/>
        </w:rPr>
        <w:t>4.5 &amp; 4.6</w:t>
        <w:tab/>
      </w:r>
      <w:r>
        <w:rPr>
          <w:rFonts w:ascii="Times New Roman" w:hAnsi="Times New Roman"/>
          <w:iCs/>
          <w:sz w:val="22"/>
          <w:szCs w:val="22"/>
        </w:rPr>
        <w:t>Mail or email communication </w:t>
      </w:r>
    </w:p>
    <w:p>
      <w:pPr>
        <w:pStyle w:val="Normal"/>
        <w:keepNext w:val="true"/>
        <w:keepLines/>
        <w:spacing w:before="0" w:after="120"/>
        <w:ind w:left="1134"/>
        <w:jc w:val="both"/>
        <w:rPr>
          <w:rFonts w:ascii="Times New Roman" w:hAnsi="Times New Roman"/>
          <w:sz w:val="22"/>
          <w:szCs w:val="22"/>
          <w:lang w:eastAsia="en-GB"/>
        </w:rPr>
      </w:pPr>
      <w:r>
        <w:rPr>
          <w:rFonts w:ascii="Times New Roman" w:hAnsi="Times New Roman"/>
          <w:sz w:val="22"/>
          <w:szCs w:val="22"/>
          <w:lang w:eastAsia="en-GB"/>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p>
    <w:p>
      <w:pPr>
        <w:pStyle w:val="Normal"/>
        <w:spacing w:before="0" w:after="120"/>
        <w:ind w:left="1134"/>
        <w:jc w:val="both"/>
        <w:textAlignment w:val="baseline"/>
        <w:rPr>
          <w:rFonts w:ascii="Times New Roman" w:hAnsi="Times New Roman"/>
          <w:sz w:val="24"/>
          <w:szCs w:val="24"/>
          <w:lang w:eastAsia="fr-BE"/>
        </w:rPr>
      </w:pPr>
      <w:r>
        <w:rPr>
          <w:rFonts w:ascii="Times New Roman" w:hAnsi="Times New Roman"/>
          <w:sz w:val="22"/>
          <w:szCs w:val="22"/>
          <w:lang w:eastAsia="fr-BE"/>
        </w:rPr>
        <w:t xml:space="preserve">For the purpose of this </w:t>
      </w:r>
      <w:r>
        <w:rPr>
          <w:rFonts w:ascii="Times New Roman" w:hAnsi="Times New Roman"/>
          <w:color w:val="000000"/>
          <w:sz w:val="22"/>
          <w:szCs w:val="22"/>
          <w:lang w:eastAsia="fr-BE"/>
        </w:rPr>
        <w:t>contract</w:t>
      </w:r>
      <w:r>
        <w:rPr>
          <w:rFonts w:ascii="Times New Roman" w:hAnsi="Times New Roman"/>
          <w:sz w:val="22"/>
          <w:szCs w:val="22"/>
          <w:lang w:eastAsia="fr-BE"/>
        </w:rPr>
        <w:t>, mail or email communications must be sent to the following addresses: </w:t>
      </w:r>
    </w:p>
    <w:p>
      <w:pPr>
        <w:pStyle w:val="Normal"/>
        <w:spacing w:before="0" w:after="120"/>
        <w:ind w:left="1134"/>
        <w:textAlignment w:val="baseline"/>
        <w:rPr>
          <w:rFonts w:ascii="Times New Roman" w:hAnsi="Times New Roman"/>
          <w:sz w:val="22"/>
          <w:szCs w:val="22"/>
          <w:lang w:eastAsia="fr-BE"/>
        </w:rPr>
      </w:pPr>
      <w:r>
        <w:rPr>
          <w:rFonts w:ascii="Times New Roman" w:hAnsi="Times New Roman"/>
          <w:sz w:val="22"/>
          <w:szCs w:val="22"/>
          <w:lang w:eastAsia="fr-BE"/>
        </w:rPr>
        <w:t>Contracting authority: </w:t>
      </w:r>
    </w:p>
    <w:p>
      <w:pPr>
        <w:pStyle w:val="Normal"/>
        <w:spacing w:before="0" w:afterAutospacing="1"/>
        <w:ind w:left="1194"/>
        <w:textAlignment w:val="baseline"/>
        <w:rPr>
          <w:rFonts w:ascii="Times New Roman" w:hAnsi="Times New Roman"/>
          <w:sz w:val="22"/>
          <w:szCs w:val="22"/>
          <w:highlight w:val="lightGray"/>
          <w:lang w:val="en-IE" w:eastAsia="fr-BE"/>
        </w:rPr>
      </w:pPr>
      <w:r>
        <w:rPr>
          <w:rFonts w:ascii="Times New Roman" w:hAnsi="Times New Roman"/>
          <w:sz w:val="22"/>
          <w:szCs w:val="22"/>
          <w:highlight w:val="lightGray"/>
          <w:lang w:val="en-IE" w:eastAsia="fr-BE"/>
        </w:rPr>
        <w:t xml:space="preserve">[Full name]  </w:t>
      </w:r>
    </w:p>
    <w:p>
      <w:pPr>
        <w:pStyle w:val="Normal"/>
        <w:spacing w:before="0" w:afterAutospacing="1"/>
        <w:ind w:left="1194"/>
        <w:textAlignment w:val="baseline"/>
        <w:rPr>
          <w:rFonts w:ascii="Times New Roman" w:hAnsi="Times New Roman"/>
          <w:sz w:val="22"/>
          <w:szCs w:val="22"/>
          <w:highlight w:val="lightGray"/>
          <w:lang w:val="en-IE" w:eastAsia="fr-BE"/>
        </w:rPr>
      </w:pPr>
      <w:r>
        <w:rPr>
          <w:rFonts w:ascii="Times New Roman" w:hAnsi="Times New Roman"/>
          <w:sz w:val="22"/>
          <w:szCs w:val="22"/>
          <w:highlight w:val="lightGray"/>
          <w:lang w:val="en-IE" w:eastAsia="fr-BE"/>
        </w:rPr>
        <w:t xml:space="preserve">[Full official address]  </w:t>
      </w:r>
    </w:p>
    <w:p>
      <w:pPr>
        <w:pStyle w:val="Normal"/>
        <w:spacing w:before="0" w:after="240"/>
        <w:ind w:left="1196"/>
        <w:textAlignment w:val="baseline"/>
        <w:rPr>
          <w:rFonts w:ascii="Times New Roman" w:hAnsi="Times New Roman"/>
          <w:sz w:val="22"/>
          <w:szCs w:val="22"/>
          <w:lang w:val="en-IE" w:eastAsia="fr-BE"/>
        </w:rPr>
      </w:pPr>
      <w:r>
        <w:rPr>
          <w:rFonts w:ascii="Times New Roman" w:hAnsi="Times New Roman"/>
          <w:sz w:val="22"/>
          <w:szCs w:val="22"/>
          <w:highlight w:val="lightGray"/>
          <w:lang w:val="en-IE" w:eastAsia="fr-BE"/>
        </w:rPr>
        <w:t>[Email: [complete]] </w:t>
      </w:r>
      <w:r>
        <w:rPr>
          <w:rFonts w:ascii="Times New Roman" w:hAnsi="Times New Roman"/>
          <w:sz w:val="22"/>
          <w:szCs w:val="22"/>
          <w:highlight w:val="yellow"/>
          <w:lang w:val="en-IE" w:eastAsia="fr-BE"/>
        </w:rPr>
        <w:t>]</w:t>
      </w:r>
    </w:p>
    <w:p>
      <w:pPr>
        <w:pStyle w:val="Normal"/>
        <w:spacing w:beforeAutospacing="1" w:afterAutospacing="1"/>
        <w:ind w:left="1194"/>
        <w:textAlignment w:val="baseline"/>
        <w:rPr>
          <w:rFonts w:ascii="Times New Roman" w:hAnsi="Times New Roman"/>
          <w:sz w:val="22"/>
          <w:szCs w:val="22"/>
          <w:lang w:eastAsia="fr-BE"/>
        </w:rPr>
      </w:pPr>
      <w:r>
        <w:rPr>
          <w:rFonts w:ascii="Times New Roman" w:hAnsi="Times New Roman"/>
          <w:sz w:val="22"/>
          <w:szCs w:val="22"/>
          <w:lang w:eastAsia="fr-BE"/>
        </w:rPr>
        <w:t>Contractor (or leader in the case of a joint tender): </w:t>
      </w:r>
    </w:p>
    <w:p>
      <w:pPr>
        <w:pStyle w:val="Normal"/>
        <w:spacing w:before="0" w:afterAutospacing="1"/>
        <w:ind w:left="1194"/>
        <w:textAlignment w:val="baseline"/>
        <w:rPr>
          <w:rFonts w:ascii="Times New Roman" w:hAnsi="Times New Roman"/>
          <w:sz w:val="22"/>
          <w:szCs w:val="22"/>
          <w:lang w:eastAsia="fr-BE"/>
        </w:rPr>
      </w:pPr>
      <w:r>
        <w:rPr>
          <w:rFonts w:ascii="Times New Roman" w:hAnsi="Times New Roman"/>
          <w:sz w:val="22"/>
          <w:szCs w:val="22"/>
          <w:lang w:eastAsia="fr-BE"/>
        </w:rPr>
        <w:t>[</w:t>
      </w:r>
      <w:r>
        <w:rPr>
          <w:rFonts w:ascii="Times New Roman" w:hAnsi="Times New Roman"/>
          <w:sz w:val="22"/>
          <w:szCs w:val="22"/>
          <w:shd w:fill="C0C0C0" w:val="clear"/>
          <w:lang w:eastAsia="fr-BE"/>
        </w:rPr>
        <w:t>Full name</w:t>
      </w:r>
      <w:r>
        <w:rPr>
          <w:rFonts w:ascii="Times New Roman" w:hAnsi="Times New Roman"/>
          <w:sz w:val="22"/>
          <w:szCs w:val="22"/>
          <w:lang w:eastAsia="fr-BE"/>
        </w:rPr>
        <w:t>] </w:t>
      </w:r>
    </w:p>
    <w:p>
      <w:pPr>
        <w:pStyle w:val="Normal"/>
        <w:spacing w:before="0" w:afterAutospacing="1"/>
        <w:ind w:left="1194"/>
        <w:textAlignment w:val="baseline"/>
        <w:rPr>
          <w:rFonts w:ascii="Times New Roman" w:hAnsi="Times New Roman"/>
          <w:sz w:val="22"/>
          <w:szCs w:val="22"/>
          <w:lang w:eastAsia="fr-BE"/>
        </w:rPr>
      </w:pPr>
      <w:r>
        <w:rPr>
          <w:rFonts w:ascii="Times New Roman" w:hAnsi="Times New Roman"/>
          <w:sz w:val="22"/>
          <w:szCs w:val="22"/>
          <w:lang w:eastAsia="fr-BE"/>
        </w:rPr>
        <w:t>[</w:t>
      </w:r>
      <w:r>
        <w:rPr>
          <w:rFonts w:ascii="Times New Roman" w:hAnsi="Times New Roman"/>
          <w:sz w:val="22"/>
          <w:szCs w:val="22"/>
          <w:shd w:fill="C0C0C0" w:val="clear"/>
          <w:lang w:eastAsia="fr-BE"/>
        </w:rPr>
        <w:t>Function</w:t>
      </w:r>
      <w:r>
        <w:rPr>
          <w:rFonts w:ascii="Times New Roman" w:hAnsi="Times New Roman"/>
          <w:sz w:val="22"/>
          <w:szCs w:val="22"/>
          <w:lang w:eastAsia="fr-BE"/>
        </w:rPr>
        <w:t>] </w:t>
      </w:r>
    </w:p>
    <w:p>
      <w:pPr>
        <w:pStyle w:val="Normal"/>
        <w:spacing w:before="0" w:afterAutospacing="1"/>
        <w:ind w:left="1194"/>
        <w:textAlignment w:val="baseline"/>
        <w:rPr>
          <w:rFonts w:ascii="Times New Roman" w:hAnsi="Times New Roman"/>
          <w:sz w:val="22"/>
          <w:szCs w:val="22"/>
          <w:lang w:eastAsia="fr-BE"/>
        </w:rPr>
      </w:pPr>
      <w:r>
        <w:rPr>
          <w:rFonts w:ascii="Times New Roman" w:hAnsi="Times New Roman"/>
          <w:sz w:val="22"/>
          <w:szCs w:val="22"/>
          <w:lang w:eastAsia="fr-BE"/>
        </w:rPr>
        <w:t>[</w:t>
      </w:r>
      <w:r>
        <w:rPr>
          <w:rFonts w:ascii="Times New Roman" w:hAnsi="Times New Roman"/>
          <w:sz w:val="22"/>
          <w:szCs w:val="22"/>
          <w:shd w:fill="C0C0C0" w:val="clear"/>
          <w:lang w:eastAsia="fr-BE"/>
        </w:rPr>
        <w:t>Company name</w:t>
      </w:r>
      <w:r>
        <w:rPr>
          <w:rFonts w:ascii="Times New Roman" w:hAnsi="Times New Roman"/>
          <w:sz w:val="22"/>
          <w:szCs w:val="22"/>
          <w:lang w:eastAsia="fr-BE"/>
        </w:rPr>
        <w:t>] </w:t>
      </w:r>
    </w:p>
    <w:p>
      <w:pPr>
        <w:pStyle w:val="Normal"/>
        <w:spacing w:before="0" w:afterAutospacing="1"/>
        <w:ind w:left="1194"/>
        <w:textAlignment w:val="baseline"/>
        <w:rPr>
          <w:rFonts w:ascii="Times New Roman" w:hAnsi="Times New Roman"/>
          <w:sz w:val="22"/>
          <w:szCs w:val="22"/>
          <w:lang w:eastAsia="fr-BE"/>
        </w:rPr>
      </w:pPr>
      <w:r>
        <w:rPr>
          <w:rFonts w:ascii="Times New Roman" w:hAnsi="Times New Roman"/>
          <w:sz w:val="22"/>
          <w:szCs w:val="22"/>
          <w:lang w:eastAsia="fr-BE"/>
        </w:rPr>
        <w:t>[</w:t>
      </w:r>
      <w:r>
        <w:rPr>
          <w:rFonts w:ascii="Times New Roman" w:hAnsi="Times New Roman"/>
          <w:sz w:val="22"/>
          <w:szCs w:val="22"/>
          <w:shd w:fill="C0C0C0" w:val="clear"/>
          <w:lang w:eastAsia="fr-BE"/>
        </w:rPr>
        <w:t>Full official address</w:t>
      </w:r>
      <w:r>
        <w:rPr>
          <w:rFonts w:ascii="Times New Roman" w:hAnsi="Times New Roman"/>
          <w:sz w:val="22"/>
          <w:szCs w:val="22"/>
          <w:lang w:eastAsia="fr-BE"/>
        </w:rPr>
        <w:t>] </w:t>
      </w:r>
    </w:p>
    <w:p>
      <w:pPr>
        <w:pStyle w:val="Normal"/>
        <w:spacing w:before="0" w:afterAutospacing="1"/>
        <w:ind w:left="1194"/>
        <w:textAlignment w:val="baseline"/>
        <w:rPr>
          <w:rFonts w:ascii="Times New Roman" w:hAnsi="Times New Roman"/>
          <w:sz w:val="22"/>
          <w:szCs w:val="22"/>
          <w:lang w:eastAsia="fr-BE"/>
        </w:rPr>
      </w:pPr>
      <w:r>
        <w:rPr>
          <w:rFonts w:ascii="Times New Roman" w:hAnsi="Times New Roman"/>
          <w:sz w:val="22"/>
          <w:szCs w:val="22"/>
          <w:lang w:eastAsia="fr-BE"/>
        </w:rPr>
        <w:t>Email: [</w:t>
      </w:r>
      <w:r>
        <w:rPr>
          <w:rFonts w:ascii="Times New Roman" w:hAnsi="Times New Roman"/>
          <w:sz w:val="22"/>
          <w:szCs w:val="22"/>
          <w:shd w:fill="C0C0C0" w:val="clear"/>
          <w:lang w:eastAsia="fr-BE"/>
        </w:rPr>
        <w:t>complete</w:t>
      </w:r>
      <w:r>
        <w:rPr>
          <w:rFonts w:ascii="Times New Roman" w:hAnsi="Times New Roman"/>
          <w:sz w:val="22"/>
          <w:szCs w:val="22"/>
          <w:lang w:eastAsia="fr-BE"/>
        </w:rPr>
        <w:t>] </w:t>
      </w:r>
    </w:p>
    <w:p>
      <w:pPr>
        <w:pStyle w:val="Normal"/>
        <w:keepNext w:val="true"/>
        <w:spacing w:before="240" w:after="120"/>
        <w:ind w:hanging="1134" w:left="1134"/>
        <w:jc w:val="both"/>
        <w:rPr>
          <w:rFonts w:ascii="Times New Roman" w:hAnsi="Times New Roman"/>
          <w:b/>
          <w:sz w:val="24"/>
          <w:szCs w:val="24"/>
        </w:rPr>
      </w:pPr>
      <w:bookmarkStart w:id="6" w:name="_Toc124934898"/>
      <w:bookmarkStart w:id="7" w:name="_Hlk133420420_Copy_1"/>
      <w:bookmarkEnd w:id="7"/>
      <w:r>
        <w:rPr>
          <w:rFonts w:ascii="Times New Roman" w:hAnsi="Times New Roman"/>
          <w:b/>
          <w:sz w:val="24"/>
          <w:szCs w:val="24"/>
        </w:rPr>
        <w:t>Article 7</w:t>
        <w:tab/>
        <w:t>Supply of documents</w:t>
      </w:r>
      <w:bookmarkEnd w:id="6"/>
    </w:p>
    <w:p>
      <w:pPr>
        <w:pStyle w:val="Normal"/>
        <w:ind w:left="1134"/>
        <w:jc w:val="both"/>
        <w:rPr>
          <w:rFonts w:ascii="Times New Roman" w:hAnsi="Times New Roman"/>
          <w:b/>
          <w:sz w:val="22"/>
          <w:szCs w:val="22"/>
          <w:lang w:val="mk-MK"/>
        </w:rPr>
      </w:pPr>
      <w:r>
        <w:rPr>
          <w:rFonts w:ascii="Times New Roman" w:hAnsi="Times New Roman"/>
          <w:sz w:val="22"/>
          <w:szCs w:val="22"/>
          <w:lang w:val="en-US"/>
        </w:rPr>
        <w:t xml:space="preserve">User </w:t>
      </w:r>
      <w:r>
        <w:rPr>
          <w:rFonts w:ascii="Times New Roman" w:hAnsi="Times New Roman"/>
          <w:sz w:val="22"/>
          <w:szCs w:val="22"/>
        </w:rPr>
        <w:t>manuals</w:t>
      </w:r>
      <w:r>
        <w:rPr>
          <w:rFonts w:ascii="Times New Roman" w:hAnsi="Times New Roman"/>
          <w:sz w:val="22"/>
          <w:szCs w:val="22"/>
          <w:lang w:val="mk-MK"/>
        </w:rPr>
        <w:t xml:space="preserve"> </w:t>
      </w:r>
      <w:r>
        <w:rPr>
          <w:rFonts w:ascii="Times New Roman" w:hAnsi="Times New Roman"/>
          <w:sz w:val="22"/>
          <w:szCs w:val="22"/>
          <w:lang w:val="en-US"/>
        </w:rPr>
        <w:t>for technical equipment</w:t>
      </w:r>
    </w:p>
    <w:p>
      <w:pPr>
        <w:pStyle w:val="Normal"/>
        <w:spacing w:before="240" w:after="120"/>
        <w:ind w:hanging="1134" w:left="1134"/>
        <w:jc w:val="both"/>
        <w:rPr>
          <w:rFonts w:ascii="Times New Roman" w:hAnsi="Times New Roman"/>
          <w:b/>
          <w:sz w:val="24"/>
          <w:szCs w:val="24"/>
        </w:rPr>
      </w:pPr>
      <w:bookmarkStart w:id="8" w:name="_Toc124934899"/>
      <w:r>
        <w:rPr>
          <w:rFonts w:ascii="Times New Roman" w:hAnsi="Times New Roman"/>
          <w:b/>
          <w:sz w:val="24"/>
          <w:szCs w:val="24"/>
        </w:rPr>
        <w:t>Article 8</w:t>
        <w:tab/>
        <w:t>Assistance with local regulations</w:t>
      </w:r>
      <w:bookmarkEnd w:id="8"/>
    </w:p>
    <w:p>
      <w:pPr>
        <w:pStyle w:val="Normal"/>
        <w:ind w:left="1134"/>
        <w:jc w:val="both"/>
        <w:rPr>
          <w:rFonts w:ascii="Times New Roman" w:hAnsi="Times New Roman"/>
          <w:sz w:val="22"/>
          <w:szCs w:val="22"/>
        </w:rPr>
      </w:pPr>
      <w:r>
        <w:rPr>
          <w:rFonts w:ascii="Times New Roman" w:hAnsi="Times New Roman"/>
          <w:sz w:val="22"/>
          <w:szCs w:val="22"/>
        </w:rPr>
        <w:t>N.A.</w:t>
      </w:r>
    </w:p>
    <w:p>
      <w:pPr>
        <w:pStyle w:val="Normal"/>
        <w:tabs>
          <w:tab w:val="clear" w:pos="720"/>
          <w:tab w:val="left" w:pos="1134" w:leader="none"/>
        </w:tabs>
        <w:jc w:val="both"/>
        <w:rPr>
          <w:rFonts w:ascii="Times New Roman" w:hAnsi="Times New Roman"/>
          <w:b/>
          <w:sz w:val="24"/>
          <w:szCs w:val="24"/>
        </w:rPr>
      </w:pPr>
      <w:r>
        <w:rPr>
          <w:rFonts w:ascii="Times New Roman" w:hAnsi="Times New Roman"/>
          <w:b/>
          <w:sz w:val="24"/>
          <w:szCs w:val="24"/>
        </w:rPr>
        <w:t>Article 9</w:t>
        <w:tab/>
        <w:t>General obligations</w:t>
      </w:r>
    </w:p>
    <w:p>
      <w:pPr>
        <w:pStyle w:val="Normal"/>
        <w:tabs>
          <w:tab w:val="clear" w:pos="720"/>
          <w:tab w:val="left" w:pos="426" w:leader="none"/>
        </w:tabs>
        <w:ind w:hanging="708" w:left="1134" w:right="-2"/>
        <w:jc w:val="both"/>
        <w:rPr>
          <w:rFonts w:ascii="Times New Roman" w:hAnsi="Times New Roman"/>
          <w:sz w:val="22"/>
          <w:szCs w:val="22"/>
        </w:rPr>
      </w:pPr>
      <w:r>
        <w:rPr>
          <w:rFonts w:ascii="Times New Roman" w:hAnsi="Times New Roman"/>
          <w:sz w:val="22"/>
          <w:szCs w:val="22"/>
        </w:rPr>
        <w:t>9.9</w:t>
        <w:tab/>
        <w:t>The visibility measures by the Contractor must comply with the rules lay down in the Communication and Visibility Manual for EU External Actions published on the  website of DG International Cooperation and Development:</w:t>
      </w:r>
      <w:hyperlink r:id="rId2">
        <w:r>
          <w:rPr>
            <w:rStyle w:val="Hyperlink"/>
            <w:rFonts w:ascii="Times New Roman" w:hAnsi="Times New Roman"/>
            <w:sz w:val="22"/>
            <w:szCs w:val="22"/>
          </w:rPr>
          <w:t>https://ec.europa.eu/europeaid/funding/communication-and-visibility-manual-eu-external-actions_en</w:t>
        </w:r>
      </w:hyperlink>
    </w:p>
    <w:p>
      <w:pPr>
        <w:pStyle w:val="Normal"/>
        <w:keepNext w:val="true"/>
        <w:spacing w:before="240" w:after="120"/>
        <w:ind w:hanging="1134" w:left="1134"/>
        <w:jc w:val="both"/>
        <w:rPr>
          <w:rFonts w:ascii="Times New Roman" w:hAnsi="Times New Roman"/>
          <w:b/>
          <w:sz w:val="24"/>
          <w:szCs w:val="24"/>
        </w:rPr>
      </w:pPr>
      <w:bookmarkStart w:id="9" w:name="_Toc124934900"/>
      <w:r>
        <w:rPr>
          <w:rFonts w:ascii="Times New Roman" w:hAnsi="Times New Roman"/>
          <w:b/>
          <w:sz w:val="24"/>
          <w:szCs w:val="24"/>
        </w:rPr>
        <w:t>Article 10</w:t>
        <w:tab/>
        <w:t>Origin</w:t>
      </w:r>
      <w:bookmarkEnd w:id="9"/>
    </w:p>
    <w:p>
      <w:pPr>
        <w:pStyle w:val="Heading2"/>
        <w:keepNext w:val="false"/>
        <w:numPr>
          <w:ilvl w:val="0"/>
          <w:numId w:val="0"/>
        </w:numPr>
        <w:spacing w:before="0" w:after="120"/>
        <w:ind w:hanging="708" w:left="1134"/>
        <w:jc w:val="both"/>
        <w:rPr>
          <w:rFonts w:ascii="Times New Roman" w:hAnsi="Times New Roman"/>
          <w:sz w:val="22"/>
          <w:szCs w:val="22"/>
          <w:lang w:val="en-IE"/>
        </w:rPr>
      </w:pPr>
      <w:r>
        <w:rPr>
          <w:rFonts w:ascii="Times New Roman" w:hAnsi="Times New Roman"/>
          <w:sz w:val="22"/>
          <w:szCs w:val="22"/>
          <w:lang w:val="en-GB"/>
        </w:rPr>
        <w:t>10.1</w:t>
        <w:tab/>
      </w:r>
      <w:r>
        <w:rPr>
          <w:rFonts w:ascii="Times New Roman" w:hAnsi="Times New Roman"/>
          <w:sz w:val="22"/>
          <w:szCs w:val="22"/>
          <w:lang w:val="en-IE"/>
        </w:rPr>
        <w:t>All goods purchased can originate in any country.</w:t>
      </w:r>
    </w:p>
    <w:p>
      <w:pPr>
        <w:pStyle w:val="Normal"/>
        <w:spacing w:before="240" w:after="120"/>
        <w:ind w:hanging="1134" w:left="1134"/>
        <w:jc w:val="both"/>
        <w:rPr>
          <w:rFonts w:ascii="Times New Roman" w:hAnsi="Times New Roman"/>
          <w:b/>
          <w:sz w:val="24"/>
          <w:szCs w:val="24"/>
        </w:rPr>
      </w:pPr>
      <w:bookmarkStart w:id="10" w:name="_Toc124934901"/>
      <w:r>
        <w:rPr>
          <w:rFonts w:ascii="Times New Roman" w:hAnsi="Times New Roman"/>
          <w:b/>
          <w:sz w:val="24"/>
          <w:szCs w:val="24"/>
        </w:rPr>
        <w:t>Article 11</w:t>
        <w:tab/>
        <w:t>Performance guarantee</w:t>
      </w:r>
      <w:bookmarkEnd w:id="10"/>
    </w:p>
    <w:p>
      <w:pPr>
        <w:pStyle w:val="Normal"/>
        <w:spacing w:before="0" w:after="120"/>
        <w:ind w:hanging="709" w:left="1134"/>
        <w:jc w:val="both"/>
        <w:rPr>
          <w:rFonts w:ascii="Times New Roman" w:hAnsi="Times New Roman"/>
          <w:sz w:val="22"/>
          <w:szCs w:val="22"/>
        </w:rPr>
      </w:pPr>
      <w:r>
        <w:rPr>
          <w:rFonts w:ascii="Times New Roman" w:hAnsi="Times New Roman"/>
          <w:sz w:val="22"/>
          <w:szCs w:val="22"/>
        </w:rPr>
        <w:t>11.1</w:t>
        <w:tab/>
        <w:t>No performance guarantee is required.</w:t>
      </w:r>
    </w:p>
    <w:p>
      <w:pPr>
        <w:pStyle w:val="Normal"/>
        <w:spacing w:before="240" w:after="120"/>
        <w:ind w:hanging="1134" w:left="1134"/>
        <w:jc w:val="both"/>
        <w:rPr>
          <w:rFonts w:ascii="Times New Roman" w:hAnsi="Times New Roman"/>
          <w:b/>
          <w:sz w:val="24"/>
          <w:szCs w:val="24"/>
        </w:rPr>
      </w:pPr>
      <w:bookmarkStart w:id="11" w:name="_Toc124934902"/>
      <w:r>
        <w:rPr>
          <w:rFonts w:ascii="Times New Roman" w:hAnsi="Times New Roman"/>
          <w:b/>
          <w:sz w:val="24"/>
          <w:szCs w:val="24"/>
        </w:rPr>
        <w:t>Article 12</w:t>
        <w:tab/>
        <w:t>Liabilities and insurance</w:t>
      </w:r>
      <w:bookmarkEnd w:id="11"/>
    </w:p>
    <w:p>
      <w:pPr>
        <w:pStyle w:val="Normal"/>
        <w:tabs>
          <w:tab w:val="clear" w:pos="720"/>
          <w:tab w:val="left" w:pos="1134" w:leader="none"/>
        </w:tabs>
        <w:spacing w:before="240" w:after="120"/>
        <w:ind w:hanging="708" w:left="1134"/>
        <w:jc w:val="both"/>
        <w:rPr>
          <w:rFonts w:ascii="Times New Roman" w:hAnsi="Times New Roman"/>
          <w:sz w:val="22"/>
          <w:szCs w:val="22"/>
        </w:rPr>
      </w:pPr>
      <w:r>
        <w:rPr>
          <w:rFonts w:ascii="Times New Roman" w:hAnsi="Times New Roman"/>
          <w:sz w:val="22"/>
          <w:szCs w:val="22"/>
        </w:rPr>
        <w:t>12.1(a)By way of derogation from Article 12.1(a), paragraph 2, of the general conditions, compensation for damage to the supplies resulting from the contractor's liability in respect of the contracting authority is capped at an amount equal the contract value.</w:t>
      </w:r>
    </w:p>
    <w:p>
      <w:pPr>
        <w:pStyle w:val="Normal"/>
        <w:tabs>
          <w:tab w:val="clear" w:pos="720"/>
          <w:tab w:val="left" w:pos="1134" w:leader="none"/>
        </w:tabs>
        <w:spacing w:before="240" w:after="120"/>
        <w:ind w:hanging="708" w:left="1134"/>
        <w:jc w:val="both"/>
        <w:rPr>
          <w:rFonts w:ascii="Times New Roman" w:hAnsi="Times New Roman"/>
          <w:sz w:val="22"/>
          <w:szCs w:val="22"/>
        </w:rPr>
      </w:pPr>
      <w:r>
        <w:rPr>
          <w:rFonts w:ascii="Times New Roman" w:hAnsi="Times New Roman"/>
          <w:sz w:val="22"/>
          <w:szCs w:val="22"/>
        </w:rPr>
        <w:t>12.1(b) By way of derogation from Article 12.1(b), paragraph 2, of the general conditions, compensation for damage resulting from the contractor's liability in respect of the contracting authority is capped at an amount equal to the contract value.</w:t>
      </w:r>
    </w:p>
    <w:p>
      <w:pPr>
        <w:pStyle w:val="Normal"/>
        <w:tabs>
          <w:tab w:val="clear" w:pos="720"/>
          <w:tab w:val="left" w:pos="1134" w:leader="none"/>
        </w:tabs>
        <w:spacing w:before="240" w:after="120"/>
        <w:ind w:hanging="708" w:left="1134"/>
        <w:jc w:val="both"/>
        <w:rPr>
          <w:rFonts w:ascii="Times New Roman" w:hAnsi="Times New Roman"/>
          <w:sz w:val="22"/>
          <w:szCs w:val="22"/>
        </w:rPr>
      </w:pPr>
      <w:r>
        <w:rPr>
          <w:rFonts w:ascii="Times New Roman" w:hAnsi="Times New Roman"/>
          <w:sz w:val="22"/>
          <w:szCs w:val="22"/>
        </w:rPr>
        <w:t>12.2(a), paragraph 1. There is no requirement for insurance. The Contractor will assume full responsibility for the supply, delivery, unloading, and maintenance of the supplies until the final acceptance.</w:t>
      </w:r>
    </w:p>
    <w:p>
      <w:pPr>
        <w:pStyle w:val="Normal"/>
        <w:tabs>
          <w:tab w:val="clear" w:pos="720"/>
          <w:tab w:val="left" w:pos="1134" w:leader="none"/>
        </w:tabs>
        <w:spacing w:before="240" w:after="120"/>
        <w:ind w:hanging="708" w:left="1134"/>
        <w:jc w:val="both"/>
        <w:rPr>
          <w:rFonts w:ascii="Times New Roman" w:hAnsi="Times New Roman"/>
          <w:sz w:val="22"/>
          <w:szCs w:val="22"/>
        </w:rPr>
      </w:pPr>
      <w:r>
        <w:rPr>
          <w:rFonts w:ascii="Times New Roman" w:hAnsi="Times New Roman"/>
          <w:sz w:val="22"/>
          <w:szCs w:val="22"/>
        </w:rPr>
        <w:t>12.2(a), paragraph 2. There is no requirement for insurance. The Contractor will assume full responsibility for the supply, delivery, unloading, and maintenance of the supplies until the final acceptance.</w:t>
      </w:r>
    </w:p>
    <w:p>
      <w:pPr>
        <w:pStyle w:val="Normal"/>
        <w:tabs>
          <w:tab w:val="clear" w:pos="720"/>
          <w:tab w:val="left" w:pos="1134" w:leader="none"/>
        </w:tabs>
        <w:spacing w:before="240" w:after="120"/>
        <w:ind w:hanging="708" w:left="1134"/>
        <w:jc w:val="both"/>
        <w:rPr>
          <w:rFonts w:ascii="Times New Roman" w:hAnsi="Times New Roman"/>
          <w:sz w:val="22"/>
          <w:szCs w:val="22"/>
        </w:rPr>
      </w:pPr>
      <w:r>
        <w:rPr>
          <w:rFonts w:ascii="Times New Roman" w:hAnsi="Times New Roman"/>
          <w:sz w:val="22"/>
          <w:szCs w:val="22"/>
        </w:rPr>
        <w:t>12.2(b), paragraph 2. There is no requirement for insurance. The Contractor will assume full responsibility for the supply, delivery, unloading, and maintenance of the supplies until the final acceptance</w:t>
      </w:r>
    </w:p>
    <w:p>
      <w:pPr>
        <w:pStyle w:val="Normal"/>
        <w:ind w:left="1134"/>
        <w:jc w:val="both"/>
        <w:rPr>
          <w:rFonts w:ascii="Times New Roman" w:hAnsi="Times New Roman"/>
          <w:bCs/>
          <w:sz w:val="22"/>
          <w:szCs w:val="22"/>
        </w:rPr>
      </w:pPr>
      <w:r>
        <w:rPr>
          <w:rFonts w:ascii="Times New Roman" w:hAnsi="Times New Roman"/>
          <w:bCs/>
          <w:sz w:val="22"/>
          <w:szCs w:val="22"/>
        </w:rPr>
        <w:t>All insurance costs including transportation will be borne by the contractor until the provisional acceptance without prejudice to article 29.7 of the General Conditions.</w:t>
      </w:r>
    </w:p>
    <w:p>
      <w:pPr>
        <w:pStyle w:val="Normal"/>
        <w:ind w:left="1134"/>
        <w:jc w:val="both"/>
        <w:rPr>
          <w:rFonts w:ascii="Times New Roman" w:hAnsi="Times New Roman"/>
          <w:bCs/>
          <w:sz w:val="22"/>
          <w:szCs w:val="22"/>
        </w:rPr>
      </w:pPr>
      <w:r>
        <w:rPr>
          <w:rFonts w:ascii="Times New Roman" w:hAnsi="Times New Roman"/>
          <w:bCs/>
          <w:sz w:val="22"/>
          <w:szCs w:val="22"/>
        </w:rPr>
        <w:t>The Contractor shall bear all risks at full replacement value and associated expenses until provisional acceptance is agreed and certified. The supplies must be covered by all types of insurance cover (carriage, damage, theft, third party liability, etc.) until the issuance of the provisional acceptance.</w:t>
      </w:r>
    </w:p>
    <w:p>
      <w:pPr>
        <w:pStyle w:val="Normal"/>
        <w:spacing w:before="0" w:after="120"/>
        <w:ind w:left="1843"/>
        <w:jc w:val="both"/>
        <w:rPr>
          <w:rFonts w:ascii="Times New Roman" w:hAnsi="Times New Roman"/>
          <w:color w:val="222222"/>
          <w:sz w:val="22"/>
          <w:szCs w:val="22"/>
          <w:highlight w:val="yellow"/>
        </w:rPr>
      </w:pPr>
      <w:r>
        <w:rPr>
          <w:rFonts w:ascii="Times New Roman" w:hAnsi="Times New Roman"/>
          <w:color w:val="222222"/>
          <w:sz w:val="22"/>
          <w:szCs w:val="22"/>
        </w:rPr>
        <w:t>The contractor shall provide transport insurance to the extent that it assumes transportation risks. The question of the extent of the risks assumed by the contractor (seller) depends in particular on the Incoterms used:</w:t>
      </w:r>
    </w:p>
    <w:p>
      <w:pPr>
        <w:pStyle w:val="Default"/>
        <w:numPr>
          <w:ilvl w:val="0"/>
          <w:numId w:val="5"/>
        </w:numPr>
        <w:spacing w:before="0" w:after="120"/>
        <w:ind w:hanging="360" w:left="2268"/>
        <w:jc w:val="both"/>
        <w:rPr>
          <w:sz w:val="22"/>
          <w:szCs w:val="22"/>
        </w:rPr>
      </w:pPr>
      <w:r>
        <w:rPr>
          <w:b/>
          <w:i/>
          <w:iCs/>
          <w:sz w:val="22"/>
          <w:szCs w:val="22"/>
        </w:rPr>
        <w:t>DAP - Delivered At Place</w:t>
      </w:r>
      <w:r>
        <w:rPr>
          <w:i/>
          <w:iCs/>
          <w:sz w:val="22"/>
          <w:szCs w:val="22"/>
        </w:rPr>
        <w:t xml:space="preserve">: </w:t>
      </w:r>
      <w:r>
        <w:rPr>
          <w:color w:val="222222"/>
          <w:sz w:val="22"/>
          <w:szCs w:val="22"/>
        </w:rPr>
        <w:t xml:space="preserve">Incoterm whereby the </w:t>
      </w:r>
      <w:r>
        <w:rPr>
          <w:sz w:val="22"/>
          <w:szCs w:val="22"/>
        </w:rPr>
        <w:t>buyer bears all risks and costs of import clearance:</w:t>
      </w:r>
    </w:p>
    <w:p>
      <w:pPr>
        <w:pStyle w:val="Default"/>
        <w:spacing w:before="0" w:after="120"/>
        <w:ind w:left="2268"/>
        <w:jc w:val="both"/>
        <w:rPr>
          <w:sz w:val="22"/>
          <w:szCs w:val="22"/>
        </w:rPr>
      </w:pPr>
      <w:r>
        <w:rPr>
          <w:i/>
          <w:iCs/>
          <w:sz w:val="22"/>
          <w:szCs w:val="22"/>
        </w:rPr>
        <w:t>‘</w:t>
      </w:r>
      <w:r>
        <w:rPr>
          <w:i/>
          <w:iCs/>
          <w:sz w:val="22"/>
          <w:szCs w:val="22"/>
        </w:rPr>
        <w:t>the seller delivers when the goods are placed at the disposal of the buyer on the arriving means of transport ready for unloading at the named place of destination. The seller bears all risks involved in bringing the goods to the named place’</w:t>
      </w:r>
      <w:r>
        <w:rPr>
          <w:rStyle w:val="FootnoteReference"/>
          <w:i/>
          <w:iCs/>
          <w:sz w:val="22"/>
          <w:szCs w:val="22"/>
        </w:rPr>
        <w:footnoteReference w:id="2"/>
      </w:r>
      <w:r>
        <w:rPr>
          <w:iCs/>
          <w:sz w:val="22"/>
          <w:szCs w:val="22"/>
        </w:rPr>
        <w:t xml:space="preserve">, including </w:t>
      </w:r>
      <w:r>
        <w:rPr>
          <w:color w:val="222222"/>
          <w:sz w:val="22"/>
          <w:szCs w:val="22"/>
        </w:rPr>
        <w:t>customs clearance for export, but not for import at the port or at the border of the agreed place of destination.</w:t>
      </w:r>
    </w:p>
    <w:p>
      <w:pPr>
        <w:pStyle w:val="Normal"/>
        <w:spacing w:before="240" w:after="120"/>
        <w:ind w:hanging="1134" w:left="1134"/>
        <w:jc w:val="both"/>
        <w:rPr>
          <w:rFonts w:ascii="Times New Roman" w:hAnsi="Times New Roman"/>
          <w:b/>
          <w:sz w:val="24"/>
          <w:szCs w:val="24"/>
        </w:rPr>
      </w:pPr>
      <w:r>
        <w:rPr>
          <w:rFonts w:ascii="Times New Roman" w:hAnsi="Times New Roman"/>
          <w:b/>
          <w:sz w:val="24"/>
          <w:szCs w:val="24"/>
        </w:rPr>
      </w:r>
    </w:p>
    <w:p>
      <w:pPr>
        <w:pStyle w:val="Normal"/>
        <w:spacing w:before="240" w:after="120"/>
        <w:ind w:hanging="1134" w:left="1134"/>
        <w:jc w:val="both"/>
        <w:rPr>
          <w:rFonts w:ascii="Times New Roman" w:hAnsi="Times New Roman"/>
          <w:b/>
          <w:sz w:val="24"/>
          <w:szCs w:val="24"/>
        </w:rPr>
      </w:pPr>
      <w:r>
        <w:rPr>
          <w:rFonts w:ascii="Times New Roman" w:hAnsi="Times New Roman"/>
          <w:b/>
          <w:sz w:val="24"/>
          <w:szCs w:val="24"/>
        </w:rPr>
      </w:r>
    </w:p>
    <w:p>
      <w:pPr>
        <w:pStyle w:val="Normal"/>
        <w:spacing w:before="240" w:after="120"/>
        <w:ind w:hanging="1134" w:left="1134"/>
        <w:jc w:val="both"/>
        <w:rPr>
          <w:rFonts w:ascii="Times New Roman" w:hAnsi="Times New Roman"/>
          <w:b/>
          <w:sz w:val="24"/>
          <w:szCs w:val="24"/>
        </w:rPr>
      </w:pPr>
      <w:bookmarkStart w:id="12" w:name="_Toc124934903"/>
      <w:r>
        <w:rPr>
          <w:rFonts w:ascii="Times New Roman" w:hAnsi="Times New Roman"/>
          <w:b/>
          <w:sz w:val="24"/>
          <w:szCs w:val="24"/>
        </w:rPr>
        <w:t>Article 13</w:t>
        <w:tab/>
      </w:r>
      <w:bookmarkEnd w:id="12"/>
      <w:r>
        <w:rPr>
          <w:rFonts w:ascii="Times New Roman" w:hAnsi="Times New Roman"/>
          <w:b/>
          <w:sz w:val="24"/>
          <w:szCs w:val="24"/>
        </w:rPr>
        <w:t>Programme of implementation of tasks</w:t>
      </w:r>
    </w:p>
    <w:p>
      <w:pPr>
        <w:pStyle w:val="Normal"/>
        <w:ind w:hanging="709" w:left="1134"/>
        <w:jc w:val="both"/>
        <w:rPr>
          <w:rFonts w:ascii="Times New Roman" w:hAnsi="Times New Roman"/>
          <w:b/>
          <w:sz w:val="22"/>
          <w:szCs w:val="22"/>
        </w:rPr>
      </w:pPr>
      <w:r>
        <w:rPr>
          <w:rFonts w:ascii="Times New Roman" w:hAnsi="Times New Roman"/>
          <w:sz w:val="22"/>
          <w:szCs w:val="22"/>
        </w:rPr>
        <w:t>13.2</w:t>
        <w:tab/>
        <w:t xml:space="preserve">All supplies must be delivered in a timeframe of </w:t>
      </w:r>
      <w:r>
        <w:rPr>
          <w:rFonts w:ascii="Times New Roman" w:hAnsi="Times New Roman"/>
          <w:bCs/>
          <w:sz w:val="22"/>
          <w:szCs w:val="22"/>
        </w:rPr>
        <w:t>150 calendar days</w:t>
      </w:r>
      <w:r>
        <w:rPr>
          <w:rFonts w:ascii="Times New Roman" w:hAnsi="Times New Roman"/>
          <w:sz w:val="22"/>
          <w:szCs w:val="22"/>
        </w:rPr>
        <w:t xml:space="preserve"> from contract signature. The Contractor will prove functionality and characteristics of the supplies during the delivery. Testing and verification date will be defined with Contracting Authority</w:t>
      </w:r>
    </w:p>
    <w:p>
      <w:pPr>
        <w:pStyle w:val="Normal"/>
        <w:spacing w:before="240" w:after="120"/>
        <w:ind w:hanging="1134" w:left="1134"/>
        <w:jc w:val="both"/>
        <w:rPr>
          <w:rFonts w:ascii="Times New Roman" w:hAnsi="Times New Roman"/>
          <w:b/>
          <w:sz w:val="24"/>
          <w:szCs w:val="24"/>
        </w:rPr>
      </w:pPr>
      <w:bookmarkStart w:id="13" w:name="_Toc124934904"/>
      <w:r>
        <w:rPr>
          <w:rFonts w:ascii="Times New Roman" w:hAnsi="Times New Roman"/>
          <w:b/>
          <w:sz w:val="24"/>
          <w:szCs w:val="24"/>
        </w:rPr>
        <w:t>Article 14</w:t>
        <w:tab/>
        <w:t>Contractor’s drawings</w:t>
      </w:r>
      <w:bookmarkEnd w:id="13"/>
    </w:p>
    <w:p>
      <w:pPr>
        <w:pStyle w:val="Normal"/>
        <w:ind w:hanging="709" w:left="1134"/>
        <w:jc w:val="both"/>
        <w:rPr>
          <w:rFonts w:ascii="Times New Roman" w:hAnsi="Times New Roman"/>
          <w:sz w:val="22"/>
          <w:szCs w:val="22"/>
        </w:rPr>
      </w:pPr>
      <w:r>
        <w:rPr>
          <w:rFonts w:ascii="Times New Roman" w:hAnsi="Times New Roman"/>
          <w:sz w:val="22"/>
          <w:szCs w:val="22"/>
        </w:rPr>
        <w:t>14.1</w:t>
        <w:tab/>
        <w:t>N.A.</w:t>
      </w:r>
    </w:p>
    <w:p>
      <w:pPr>
        <w:pStyle w:val="Normal"/>
        <w:spacing w:before="240" w:after="120"/>
        <w:ind w:hanging="1134" w:left="1134"/>
        <w:jc w:val="both"/>
        <w:rPr>
          <w:rFonts w:ascii="Times New Roman" w:hAnsi="Times New Roman"/>
          <w:b/>
          <w:sz w:val="24"/>
          <w:szCs w:val="24"/>
        </w:rPr>
      </w:pPr>
      <w:bookmarkStart w:id="14" w:name="_Toc124934905"/>
      <w:r>
        <w:rPr>
          <w:rFonts w:ascii="Times New Roman" w:hAnsi="Times New Roman"/>
          <w:b/>
          <w:sz w:val="24"/>
          <w:szCs w:val="24"/>
        </w:rPr>
        <w:t>Article 15</w:t>
        <w:tab/>
        <w:t>Sufficiency of tender prices</w:t>
      </w:r>
      <w:bookmarkEnd w:id="14"/>
    </w:p>
    <w:p>
      <w:pPr>
        <w:pStyle w:val="Normal"/>
        <w:jc w:val="both"/>
        <w:rPr>
          <w:rFonts w:ascii="Times New Roman" w:hAnsi="Times New Roman"/>
          <w:b/>
          <w:sz w:val="24"/>
          <w:szCs w:val="24"/>
        </w:rPr>
      </w:pPr>
      <w:r>
        <w:rPr>
          <w:rFonts w:ascii="Times New Roman" w:hAnsi="Times New Roman"/>
          <w:sz w:val="22"/>
        </w:rPr>
        <w:t xml:space="preserve">The price of the supplies shall be that shown on the financial offer (specimen in Annex IV). </w:t>
      </w:r>
    </w:p>
    <w:p>
      <w:pPr>
        <w:pStyle w:val="Normal"/>
        <w:ind w:hanging="709" w:left="1134"/>
        <w:jc w:val="both"/>
        <w:rPr>
          <w:rFonts w:ascii="Times New Roman" w:hAnsi="Times New Roman"/>
          <w:sz w:val="22"/>
          <w:szCs w:val="22"/>
        </w:rPr>
      </w:pPr>
      <w:r>
        <w:rPr>
          <w:rFonts w:ascii="Times New Roman" w:hAnsi="Times New Roman"/>
          <w:sz w:val="22"/>
          <w:szCs w:val="22"/>
        </w:rPr>
        <w:t>15.1</w:t>
        <w:tab/>
        <w:t>The prices in the contract are fixed</w:t>
      </w:r>
    </w:p>
    <w:p>
      <w:pPr>
        <w:pStyle w:val="Normal"/>
        <w:spacing w:before="240" w:after="120"/>
        <w:ind w:hanging="1134" w:left="1134"/>
        <w:jc w:val="both"/>
        <w:rPr>
          <w:rFonts w:ascii="Times New Roman" w:hAnsi="Times New Roman"/>
          <w:b/>
          <w:sz w:val="24"/>
          <w:szCs w:val="24"/>
        </w:rPr>
      </w:pPr>
      <w:r>
        <w:rPr>
          <w:rFonts w:ascii="Times New Roman" w:hAnsi="Times New Roman"/>
          <w:b/>
          <w:sz w:val="24"/>
          <w:szCs w:val="24"/>
        </w:rPr>
        <w:t>Article 16</w:t>
        <w:tab/>
        <w:t>Tax and customs arrangements</w:t>
      </w:r>
    </w:p>
    <w:p>
      <w:pPr>
        <w:pStyle w:val="Normal"/>
        <w:ind w:hanging="709" w:left="1134"/>
        <w:jc w:val="both"/>
        <w:rPr>
          <w:rFonts w:ascii="Times New Roman" w:hAnsi="Times New Roman"/>
          <w:sz w:val="22"/>
          <w:szCs w:val="22"/>
        </w:rPr>
      </w:pPr>
      <w:r>
        <w:rPr>
          <w:rFonts w:ascii="Times New Roman" w:hAnsi="Times New Roman"/>
          <w:sz w:val="22"/>
          <w:szCs w:val="22"/>
        </w:rPr>
        <w:t>16.1</w:t>
        <w:tab/>
        <w:t>Delivery conditions are DAP.</w:t>
      </w:r>
    </w:p>
    <w:p>
      <w:pPr>
        <w:pStyle w:val="Normal"/>
        <w:spacing w:before="240" w:after="120"/>
        <w:ind w:hanging="1134" w:left="1134"/>
        <w:jc w:val="both"/>
        <w:rPr>
          <w:rFonts w:ascii="Times New Roman" w:hAnsi="Times New Roman"/>
          <w:b/>
          <w:sz w:val="24"/>
          <w:szCs w:val="24"/>
        </w:rPr>
      </w:pPr>
      <w:bookmarkStart w:id="15" w:name="_Toc124934906"/>
      <w:r>
        <w:rPr>
          <w:rFonts w:ascii="Times New Roman" w:hAnsi="Times New Roman"/>
          <w:b/>
          <w:sz w:val="24"/>
          <w:szCs w:val="24"/>
        </w:rPr>
        <w:t>Article 17</w:t>
        <w:tab/>
        <w:t>Patents and licences</w:t>
      </w:r>
      <w:bookmarkEnd w:id="15"/>
    </w:p>
    <w:p>
      <w:pPr>
        <w:pStyle w:val="Normal"/>
        <w:ind w:hanging="709" w:left="1134"/>
        <w:jc w:val="both"/>
        <w:rPr>
          <w:rFonts w:ascii="Times New Roman" w:hAnsi="Times New Roman"/>
          <w:sz w:val="22"/>
          <w:szCs w:val="22"/>
        </w:rPr>
      </w:pPr>
      <w:r>
        <w:rPr>
          <w:rFonts w:ascii="Times New Roman" w:hAnsi="Times New Roman"/>
          <w:sz w:val="22"/>
          <w:szCs w:val="22"/>
        </w:rPr>
        <w:t>17.1</w:t>
        <w:tab/>
        <w:t>N.A.</w:t>
      </w:r>
    </w:p>
    <w:p>
      <w:pPr>
        <w:pStyle w:val="Normal"/>
        <w:spacing w:before="240" w:after="120"/>
        <w:ind w:hanging="1134" w:left="1134"/>
        <w:jc w:val="both"/>
        <w:rPr>
          <w:rFonts w:ascii="Times New Roman" w:hAnsi="Times New Roman"/>
          <w:b/>
          <w:sz w:val="24"/>
          <w:szCs w:val="24"/>
        </w:rPr>
      </w:pPr>
      <w:bookmarkStart w:id="16" w:name="_Toc124934907"/>
      <w:r>
        <w:rPr>
          <w:rFonts w:ascii="Times New Roman" w:hAnsi="Times New Roman"/>
          <w:b/>
          <w:sz w:val="24"/>
          <w:szCs w:val="24"/>
        </w:rPr>
        <w:t>Article 18</w:t>
        <w:tab/>
        <w:t>Delivery order</w:t>
      </w:r>
      <w:bookmarkEnd w:id="16"/>
    </w:p>
    <w:p>
      <w:pPr>
        <w:pStyle w:val="Normal"/>
        <w:ind w:hanging="709" w:left="1134"/>
        <w:jc w:val="both"/>
        <w:rPr>
          <w:rFonts w:ascii="Times New Roman" w:hAnsi="Times New Roman"/>
          <w:sz w:val="22"/>
          <w:szCs w:val="22"/>
        </w:rPr>
      </w:pPr>
      <w:r>
        <w:rPr>
          <w:rFonts w:ascii="Times New Roman" w:hAnsi="Times New Roman"/>
          <w:sz w:val="22"/>
          <w:szCs w:val="22"/>
        </w:rPr>
        <w:t>18.1</w:t>
      </w:r>
      <w:r>
        <w:rPr>
          <w:rFonts w:ascii="Times New Roman" w:hAnsi="Times New Roman"/>
          <w:b/>
          <w:sz w:val="22"/>
          <w:szCs w:val="22"/>
        </w:rPr>
        <w:tab/>
      </w:r>
      <w:r>
        <w:rPr>
          <w:rFonts w:ascii="Times New Roman" w:hAnsi="Times New Roman"/>
          <w:sz w:val="22"/>
          <w:szCs w:val="22"/>
        </w:rPr>
        <w:t>The implementation of the tasks shall commence on the date after both parties signs the Contract.</w:t>
      </w:r>
    </w:p>
    <w:p>
      <w:pPr>
        <w:pStyle w:val="Normal"/>
        <w:spacing w:before="240" w:after="120"/>
        <w:ind w:hanging="1134" w:left="1134"/>
        <w:jc w:val="both"/>
        <w:rPr>
          <w:rFonts w:ascii="Times New Roman" w:hAnsi="Times New Roman"/>
          <w:b/>
          <w:sz w:val="24"/>
          <w:szCs w:val="24"/>
        </w:rPr>
      </w:pPr>
      <w:bookmarkStart w:id="17" w:name="_Toc124934908"/>
      <w:r>
        <w:rPr>
          <w:rFonts w:ascii="Times New Roman" w:hAnsi="Times New Roman"/>
          <w:b/>
          <w:sz w:val="24"/>
          <w:szCs w:val="24"/>
        </w:rPr>
        <w:t>Article 19</w:t>
        <w:tab/>
        <w:t>Period of implementation</w:t>
      </w:r>
      <w:bookmarkEnd w:id="17"/>
      <w:r>
        <w:rPr>
          <w:rFonts w:ascii="Times New Roman" w:hAnsi="Times New Roman"/>
          <w:b/>
          <w:sz w:val="24"/>
          <w:szCs w:val="24"/>
        </w:rPr>
        <w:t xml:space="preserve"> of the tasks</w:t>
      </w:r>
    </w:p>
    <w:p>
      <w:pPr>
        <w:pStyle w:val="Normal"/>
        <w:spacing w:before="0" w:after="120"/>
        <w:ind w:hanging="709" w:left="1134"/>
        <w:jc w:val="both"/>
        <w:rPr>
          <w:rFonts w:ascii="Times New Roman" w:hAnsi="Times New Roman"/>
          <w:b/>
          <w:sz w:val="22"/>
          <w:szCs w:val="22"/>
        </w:rPr>
      </w:pPr>
      <w:r>
        <w:rPr>
          <w:rFonts w:ascii="Times New Roman" w:hAnsi="Times New Roman"/>
          <w:sz w:val="22"/>
          <w:szCs w:val="22"/>
        </w:rPr>
        <w:t>19.1</w:t>
      </w:r>
      <w:r>
        <w:rPr>
          <w:rFonts w:ascii="Times New Roman" w:hAnsi="Times New Roman"/>
          <w:b/>
          <w:sz w:val="22"/>
          <w:szCs w:val="22"/>
        </w:rPr>
        <w:tab/>
      </w:r>
      <w:r>
        <w:rPr>
          <w:rFonts w:ascii="Times New Roman" w:hAnsi="Times New Roman"/>
          <w:sz w:val="22"/>
          <w:szCs w:val="22"/>
        </w:rPr>
        <w:t>The implementation period of the tasks is 180 calendar days in relation to the date stipulated in the previous Article.</w:t>
      </w:r>
    </w:p>
    <w:p>
      <w:pPr>
        <w:pStyle w:val="Normal"/>
        <w:spacing w:before="240" w:after="120"/>
        <w:ind w:hanging="1134" w:left="1134"/>
        <w:jc w:val="both"/>
        <w:rPr>
          <w:rFonts w:ascii="Times New Roman" w:hAnsi="Times New Roman"/>
          <w:b/>
          <w:sz w:val="24"/>
          <w:szCs w:val="24"/>
        </w:rPr>
      </w:pPr>
      <w:bookmarkStart w:id="18" w:name="_Toc124934910"/>
      <w:r>
        <w:rPr>
          <w:rFonts w:ascii="Times New Roman" w:hAnsi="Times New Roman"/>
          <w:b/>
          <w:sz w:val="24"/>
          <w:szCs w:val="24"/>
        </w:rPr>
        <w:t>Article 24</w:t>
        <w:tab/>
        <w:t>Quality of supplies</w:t>
      </w:r>
      <w:bookmarkEnd w:id="18"/>
    </w:p>
    <w:p>
      <w:pPr>
        <w:pStyle w:val="Normal"/>
        <w:ind w:hanging="709" w:left="1134"/>
        <w:jc w:val="both"/>
        <w:rPr>
          <w:rFonts w:ascii="Times New Roman" w:hAnsi="Times New Roman"/>
          <w:sz w:val="22"/>
          <w:szCs w:val="22"/>
        </w:rPr>
      </w:pPr>
      <w:r>
        <w:rPr>
          <w:rFonts w:ascii="Times New Roman" w:hAnsi="Times New Roman"/>
          <w:sz w:val="22"/>
          <w:szCs w:val="22"/>
        </w:rPr>
        <w:t>24.2</w:t>
        <w:tab/>
        <w:t>No preliminary technical acceptance is required</w:t>
      </w:r>
    </w:p>
    <w:p>
      <w:pPr>
        <w:pStyle w:val="Normal"/>
        <w:spacing w:before="240" w:after="120"/>
        <w:ind w:hanging="1134" w:left="1134"/>
        <w:jc w:val="both"/>
        <w:rPr>
          <w:rFonts w:ascii="Times New Roman" w:hAnsi="Times New Roman"/>
          <w:b/>
          <w:sz w:val="24"/>
          <w:szCs w:val="24"/>
        </w:rPr>
      </w:pPr>
      <w:bookmarkStart w:id="19" w:name="_Toc124934911"/>
      <w:r>
        <w:rPr>
          <w:rFonts w:ascii="Times New Roman" w:hAnsi="Times New Roman"/>
          <w:b/>
          <w:sz w:val="24"/>
          <w:szCs w:val="24"/>
        </w:rPr>
        <w:t>Article 25</w:t>
        <w:tab/>
        <w:t>Inspection and testing</w:t>
      </w:r>
      <w:bookmarkEnd w:id="19"/>
    </w:p>
    <w:p>
      <w:pPr>
        <w:pStyle w:val="Normal"/>
        <w:ind w:hanging="709" w:left="1134"/>
        <w:jc w:val="both"/>
        <w:rPr>
          <w:rFonts w:ascii="Times New Roman" w:hAnsi="Times New Roman"/>
          <w:b/>
          <w:sz w:val="22"/>
          <w:szCs w:val="22"/>
        </w:rPr>
      </w:pPr>
      <w:r>
        <w:rPr>
          <w:rFonts w:ascii="Times New Roman" w:hAnsi="Times New Roman"/>
          <w:bCs/>
          <w:sz w:val="22"/>
          <w:szCs w:val="22"/>
        </w:rPr>
        <w:t>25.2</w:t>
        <w:tab/>
        <w:t>All goods will be inspected and tested in place of delivery – Municipality of Rankovce – on the place of delivery accordance with Article 25 of the general conditions and the practical arrangements for testing</w:t>
      </w:r>
    </w:p>
    <w:p>
      <w:pPr>
        <w:pStyle w:val="Normal"/>
        <w:spacing w:before="240" w:after="120"/>
        <w:ind w:hanging="1134" w:left="1134"/>
        <w:jc w:val="both"/>
        <w:rPr>
          <w:rFonts w:ascii="Times New Roman" w:hAnsi="Times New Roman"/>
          <w:b/>
          <w:sz w:val="24"/>
          <w:szCs w:val="24"/>
        </w:rPr>
      </w:pPr>
      <w:bookmarkStart w:id="20" w:name="_Toc124934912"/>
      <w:r>
        <w:rPr>
          <w:rFonts w:ascii="Times New Roman" w:hAnsi="Times New Roman"/>
          <w:b/>
          <w:sz w:val="24"/>
          <w:szCs w:val="24"/>
        </w:rPr>
        <w:t>Article 26</w:t>
        <w:tab/>
      </w:r>
      <w:bookmarkEnd w:id="20"/>
      <w:r>
        <w:rPr>
          <w:rFonts w:ascii="Times New Roman" w:hAnsi="Times New Roman"/>
          <w:b/>
          <w:sz w:val="24"/>
          <w:szCs w:val="24"/>
        </w:rPr>
        <w:t>General principles for payments</w:t>
      </w:r>
    </w:p>
    <w:p>
      <w:pPr>
        <w:pStyle w:val="Normal"/>
        <w:tabs>
          <w:tab w:val="clear" w:pos="720"/>
          <w:tab w:val="right" w:pos="9885" w:leader="none"/>
        </w:tabs>
        <w:spacing w:before="0" w:after="120"/>
        <w:ind w:hanging="709" w:left="1134"/>
        <w:jc w:val="both"/>
        <w:rPr>
          <w:rFonts w:ascii="Times New Roman" w:hAnsi="Times New Roman"/>
          <w:sz w:val="22"/>
          <w:szCs w:val="22"/>
        </w:rPr>
      </w:pPr>
      <w:r>
        <w:rPr>
          <w:rFonts w:ascii="Times New Roman" w:hAnsi="Times New Roman"/>
          <w:sz w:val="22"/>
          <w:szCs w:val="22"/>
        </w:rPr>
        <w:t>26.1</w:t>
        <w:tab/>
        <w:t xml:space="preserve">Payments shall be made in MKD </w:t>
      </w:r>
      <w:r>
        <w:rPr>
          <w:rFonts w:ascii="Times New Roman" w:hAnsi="Times New Roman"/>
          <w:sz w:val="22"/>
          <w:szCs w:val="22"/>
          <w:lang w:val="en-US"/>
        </w:rPr>
        <w:t xml:space="preserve">according to the monthly exchange rate publish by the EU on: </w:t>
      </w:r>
      <w:hyperlink r:id="rId3">
        <w:r>
          <w:rPr>
            <w:rStyle w:val="Hyperlink"/>
            <w:rFonts w:ascii="Times New Roman" w:hAnsi="Times New Roman"/>
            <w:sz w:val="22"/>
            <w:szCs w:val="22"/>
          </w:rPr>
          <w:t>Exchange rate (InforEuro) | European Commission (europa.eu)</w:t>
        </w:r>
      </w:hyperlink>
    </w:p>
    <w:p>
      <w:pPr>
        <w:pStyle w:val="Normal"/>
        <w:ind w:hanging="709" w:left="1134"/>
        <w:jc w:val="both"/>
        <w:rPr>
          <w:rFonts w:ascii="Times New Roman" w:hAnsi="Times New Roman"/>
          <w:sz w:val="22"/>
          <w:szCs w:val="22"/>
        </w:rPr>
      </w:pPr>
      <w:r>
        <w:rPr>
          <w:rFonts w:ascii="Times New Roman" w:hAnsi="Times New Roman"/>
          <w:sz w:val="22"/>
          <w:szCs w:val="22"/>
        </w:rPr>
        <w:t>26.3</w:t>
        <w:tab/>
        <w:t>By derogation, the pre-financing payments shall be made within 90 days from the date on which an admissible invoice is registered by the contracting authority. The final payment to the contractor of the amounts due shall be made within 90 days following provisional acceptance of the goods, after receipt by the contracting authority of an admissible invoice.</w:t>
      </w:r>
    </w:p>
    <w:p>
      <w:pPr>
        <w:pStyle w:val="Normal"/>
        <w:ind w:left="1134"/>
        <w:jc w:val="both"/>
        <w:rPr>
          <w:rFonts w:ascii="Times New Roman" w:hAnsi="Times New Roman"/>
          <w:sz w:val="22"/>
          <w:szCs w:val="22"/>
        </w:rPr>
      </w:pPr>
      <w:r>
        <w:rPr>
          <w:rFonts w:ascii="Times New Roman" w:hAnsi="Times New Roman"/>
          <w:sz w:val="22"/>
          <w:szCs w:val="22"/>
        </w:rPr>
        <w:t>By derogation, the final payment to the contractor of the amounts due shall be made within 90 days after receipt by the contracting authority of an invoice and of the application for the certificate of provisional acceptance.</w:t>
      </w:r>
    </w:p>
    <w:p>
      <w:pPr>
        <w:pStyle w:val="Normal"/>
        <w:ind w:hanging="709" w:left="1134"/>
        <w:jc w:val="both"/>
        <w:rPr>
          <w:rFonts w:ascii="Times New Roman" w:hAnsi="Times New Roman"/>
          <w:sz w:val="22"/>
          <w:szCs w:val="22"/>
        </w:rPr>
      </w:pPr>
      <w:r>
        <w:rPr>
          <w:rFonts w:ascii="Times New Roman" w:hAnsi="Times New Roman"/>
          <w:sz w:val="22"/>
          <w:szCs w:val="22"/>
        </w:rPr>
        <w:t>26.5</w:t>
        <w:tab/>
        <w:t>In order to obtain payments, the contractor must forward to the authority referred to in paragraph 26.1 above:</w:t>
      </w:r>
    </w:p>
    <w:p>
      <w:pPr>
        <w:pStyle w:val="Normal"/>
        <w:ind w:hanging="426" w:left="1560"/>
        <w:jc w:val="both"/>
        <w:rPr>
          <w:rFonts w:ascii="Times New Roman" w:hAnsi="Times New Roman"/>
          <w:sz w:val="22"/>
          <w:szCs w:val="22"/>
        </w:rPr>
      </w:pPr>
      <w:r>
        <w:rPr>
          <w:rFonts w:ascii="Times New Roman" w:hAnsi="Times New Roman"/>
          <w:sz w:val="22"/>
          <w:szCs w:val="22"/>
        </w:rPr>
        <w:t>a)</w:t>
      </w:r>
      <w:r>
        <w:rPr>
          <w:rFonts w:ascii="Times New Roman" w:hAnsi="Times New Roman"/>
          <w:b/>
          <w:sz w:val="22"/>
          <w:szCs w:val="22"/>
        </w:rPr>
        <w:tab/>
      </w:r>
      <w:r>
        <w:rPr>
          <w:rFonts w:ascii="Times New Roman" w:hAnsi="Times New Roman"/>
          <w:bCs/>
          <w:sz w:val="22"/>
          <w:szCs w:val="22"/>
        </w:rPr>
        <w:t>For the 40% pre-financing</w:t>
      </w:r>
      <w:r>
        <w:rPr>
          <w:rFonts w:ascii="Times New Roman" w:hAnsi="Times New Roman"/>
          <w:sz w:val="22"/>
          <w:szCs w:val="22"/>
        </w:rPr>
        <w:t>, the invoice.</w:t>
      </w:r>
    </w:p>
    <w:p>
      <w:pPr>
        <w:pStyle w:val="Normal"/>
        <w:spacing w:before="0" w:after="0"/>
        <w:ind w:left="1560"/>
        <w:jc w:val="both"/>
        <w:rPr>
          <w:rFonts w:ascii="Times New Roman" w:hAnsi="Times New Roman"/>
          <w:bCs/>
          <w:sz w:val="22"/>
          <w:szCs w:val="22"/>
        </w:rPr>
      </w:pPr>
      <w:r>
        <w:rPr>
          <w:rFonts w:ascii="Times New Roman" w:hAnsi="Times New Roman"/>
          <w:sz w:val="22"/>
          <w:szCs w:val="22"/>
        </w:rPr>
        <w:t>When</w:t>
      </w:r>
      <w:r>
        <w:rPr>
          <w:rFonts w:ascii="Times New Roman" w:hAnsi="Times New Roman"/>
          <w:bCs/>
          <w:sz w:val="22"/>
          <w:szCs w:val="22"/>
        </w:rPr>
        <w:t xml:space="preserve"> (i) the pre-financing requested is equal or below EUR 300 000 </w:t>
      </w:r>
      <w:r>
        <w:rPr>
          <w:rFonts w:ascii="Times New Roman" w:hAnsi="Times New Roman"/>
          <w:b/>
          <w:bCs/>
          <w:sz w:val="22"/>
          <w:szCs w:val="22"/>
        </w:rPr>
        <w:t>and</w:t>
      </w:r>
      <w:r>
        <w:rPr>
          <w:rFonts w:ascii="Times New Roman" w:hAnsi="Times New Roman"/>
          <w:bCs/>
          <w:sz w:val="22"/>
          <w:szCs w:val="22"/>
        </w:rPr>
        <w:t xml:space="preserve"> (ii) the contracting authority does not require a financial guarantee following a risk assessment</w:t>
      </w:r>
      <w:r>
        <w:rPr>
          <w:rStyle w:val="FootnoteReference"/>
          <w:rFonts w:ascii="Times New Roman" w:hAnsi="Times New Roman"/>
          <w:bCs/>
          <w:sz w:val="22"/>
          <w:szCs w:val="22"/>
        </w:rPr>
        <w:footnoteReference w:id="3"/>
      </w:r>
      <w:r>
        <w:rPr>
          <w:rFonts w:ascii="Times New Roman" w:hAnsi="Times New Roman"/>
          <w:bCs/>
          <w:sz w:val="22"/>
          <w:szCs w:val="22"/>
        </w:rPr>
        <w:t xml:space="preserve">, by derogation from article </w:t>
      </w:r>
      <w:r>
        <w:rPr>
          <w:rFonts w:ascii="Times New Roman" w:hAnsi="Times New Roman"/>
          <w:sz w:val="22"/>
          <w:szCs w:val="22"/>
        </w:rPr>
        <w:t xml:space="preserve">26.5 of the general conditions </w:t>
      </w:r>
      <w:r>
        <w:rPr>
          <w:rFonts w:ascii="Times New Roman" w:hAnsi="Times New Roman"/>
          <w:bCs/>
          <w:sz w:val="22"/>
          <w:szCs w:val="22"/>
        </w:rPr>
        <w:t>no pre-financing guarantee is required.</w:t>
      </w:r>
    </w:p>
    <w:p>
      <w:pPr>
        <w:pStyle w:val="Normal"/>
        <w:spacing w:before="120" w:after="0"/>
        <w:ind w:hanging="425" w:left="1559"/>
        <w:jc w:val="both"/>
        <w:rPr>
          <w:rFonts w:ascii="Times New Roman" w:hAnsi="Times New Roman"/>
          <w:sz w:val="22"/>
          <w:szCs w:val="22"/>
        </w:rPr>
      </w:pPr>
      <w:r>
        <w:rPr>
          <w:rFonts w:ascii="Times New Roman" w:hAnsi="Times New Roman"/>
          <w:sz w:val="22"/>
          <w:szCs w:val="22"/>
        </w:rPr>
        <w:t>b)</w:t>
      </w:r>
      <w:r>
        <w:rPr>
          <w:rFonts w:ascii="Times New Roman" w:hAnsi="Times New Roman"/>
          <w:b/>
          <w:sz w:val="22"/>
          <w:szCs w:val="22"/>
        </w:rPr>
        <w:tab/>
      </w:r>
      <w:r>
        <w:rPr>
          <w:rFonts w:ascii="Times New Roman" w:hAnsi="Times New Roman"/>
          <w:bCs/>
          <w:sz w:val="22"/>
          <w:szCs w:val="22"/>
        </w:rPr>
        <w:t>For the 60 % balance</w:t>
      </w:r>
      <w:r>
        <w:rPr>
          <w:rFonts w:ascii="Times New Roman" w:hAnsi="Times New Roman"/>
          <w:sz w:val="22"/>
          <w:szCs w:val="22"/>
        </w:rPr>
        <w:t xml:space="preserve"> the invoice together with the request for provisional acceptance of the supplies.</w:t>
      </w:r>
    </w:p>
    <w:p>
      <w:pPr>
        <w:pStyle w:val="Normal"/>
        <w:ind w:hanging="709" w:left="1134"/>
        <w:jc w:val="both"/>
        <w:rPr>
          <w:rFonts w:ascii="Times New Roman" w:hAnsi="Times New Roman"/>
          <w:b/>
          <w:sz w:val="22"/>
          <w:szCs w:val="22"/>
        </w:rPr>
      </w:pPr>
      <w:r>
        <w:rPr>
          <w:rFonts w:ascii="Times New Roman" w:hAnsi="Times New Roman"/>
          <w:sz w:val="22"/>
          <w:szCs w:val="22"/>
        </w:rPr>
        <w:t>26.9</w:t>
      </w:r>
      <w:r>
        <w:rPr>
          <w:rFonts w:ascii="Times New Roman" w:hAnsi="Times New Roman"/>
          <w:b/>
          <w:sz w:val="22"/>
          <w:szCs w:val="22"/>
        </w:rPr>
        <w:tab/>
      </w:r>
      <w:r>
        <w:rPr>
          <w:rFonts w:ascii="Times New Roman" w:hAnsi="Times New Roman"/>
          <w:color w:val="000000"/>
          <w:sz w:val="22"/>
          <w:szCs w:val="22"/>
        </w:rPr>
        <w:t>No derogation from the General conditions</w:t>
      </w:r>
    </w:p>
    <w:p>
      <w:pPr>
        <w:pStyle w:val="Normal"/>
        <w:spacing w:before="240" w:after="120"/>
        <w:ind w:hanging="1134" w:left="1134"/>
        <w:jc w:val="both"/>
        <w:rPr>
          <w:rFonts w:ascii="Times New Roman" w:hAnsi="Times New Roman"/>
          <w:b/>
          <w:sz w:val="24"/>
          <w:szCs w:val="24"/>
        </w:rPr>
      </w:pPr>
      <w:r>
        <w:rPr>
          <w:rFonts w:ascii="Times New Roman" w:hAnsi="Times New Roman"/>
          <w:b/>
          <w:sz w:val="24"/>
          <w:szCs w:val="24"/>
        </w:rPr>
        <w:t>Article 28</w:t>
        <w:tab/>
        <w:t>Delayed payments</w:t>
      </w:r>
    </w:p>
    <w:p>
      <w:pPr>
        <w:pStyle w:val="Normal"/>
        <w:ind w:hanging="709" w:left="1134"/>
        <w:jc w:val="both"/>
        <w:rPr>
          <w:rFonts w:ascii="Times New Roman" w:hAnsi="Times New Roman"/>
          <w:sz w:val="22"/>
          <w:szCs w:val="22"/>
          <w:lang w:eastAsia="en-GB"/>
        </w:rPr>
      </w:pPr>
      <w:r>
        <w:rPr>
          <w:rFonts w:ascii="Times New Roman" w:hAnsi="Times New Roman"/>
          <w:sz w:val="22"/>
          <w:szCs w:val="22"/>
        </w:rPr>
        <w:t>28.2</w:t>
      </w:r>
      <w:r>
        <w:rPr>
          <w:rFonts w:ascii="Times New Roman" w:hAnsi="Times New Roman"/>
          <w:b/>
          <w:sz w:val="22"/>
          <w:szCs w:val="22"/>
        </w:rPr>
        <w:tab/>
      </w:r>
      <w:r>
        <w:rPr>
          <w:rFonts w:ascii="Times New Roman" w:hAnsi="Times New Roman"/>
          <w:sz w:val="22"/>
          <w:szCs w:val="22"/>
          <w:lang w:eastAsia="en-GB"/>
        </w:rPr>
        <w:t>By derogation from Article 28.2 of the general conditions, o</w:t>
      </w:r>
      <w:r>
        <w:rPr>
          <w:rFonts w:ascii="Times New Roman" w:hAnsi="Times New Roman"/>
          <w:sz w:val="22"/>
          <w:szCs w:val="22"/>
        </w:rPr>
        <w:t>nce the deadline laid down in Article 26.3 has expired, the contractor shall, upon demand, be entitled to late-payment interest at the rate and for the period mentioned in the general conditions. The demand must be submitted within two months of receiving late payment.</w:t>
      </w:r>
    </w:p>
    <w:p>
      <w:pPr>
        <w:pStyle w:val="Normal"/>
        <w:spacing w:before="240" w:after="120"/>
        <w:ind w:hanging="1134" w:left="1134"/>
        <w:jc w:val="both"/>
        <w:rPr>
          <w:rFonts w:ascii="Times New Roman" w:hAnsi="Times New Roman"/>
          <w:b/>
          <w:sz w:val="24"/>
          <w:szCs w:val="24"/>
        </w:rPr>
      </w:pPr>
      <w:bookmarkStart w:id="21" w:name="_Toc124934913"/>
      <w:r>
        <w:rPr>
          <w:rFonts w:ascii="Times New Roman" w:hAnsi="Times New Roman"/>
          <w:b/>
          <w:sz w:val="24"/>
          <w:szCs w:val="24"/>
        </w:rPr>
        <w:t>Article 29</w:t>
        <w:tab/>
        <w:t>Delivery</w:t>
      </w:r>
      <w:bookmarkEnd w:id="21"/>
    </w:p>
    <w:p>
      <w:pPr>
        <w:pStyle w:val="Normal"/>
        <w:spacing w:before="240" w:after="120"/>
        <w:ind w:hanging="1134" w:left="1134"/>
        <w:jc w:val="both"/>
        <w:rPr>
          <w:rFonts w:ascii="Times New Roman" w:hAnsi="Times New Roman"/>
          <w:b/>
          <w:sz w:val="24"/>
          <w:szCs w:val="24"/>
        </w:rPr>
      </w:pPr>
      <w:r>
        <w:rPr>
          <w:rFonts w:ascii="Times New Roman" w:hAnsi="Times New Roman"/>
          <w:sz w:val="22"/>
          <w:szCs w:val="22"/>
        </w:rPr>
        <w:t>29.1 The Incoterm applicable shall be DAP</w:t>
      </w:r>
      <w:r>
        <w:rPr>
          <w:rStyle w:val="FootnoteReference"/>
          <w:rFonts w:ascii="Times New Roman" w:hAnsi="Times New Roman"/>
          <w:sz w:val="22"/>
          <w:vertAlign w:val="superscript"/>
        </w:rPr>
        <w:footnoteReference w:id="4"/>
      </w:r>
    </w:p>
    <w:p>
      <w:pPr>
        <w:pStyle w:val="Normal"/>
        <w:ind w:hanging="709" w:left="1134"/>
        <w:jc w:val="both"/>
        <w:rPr>
          <w:rFonts w:ascii="Times New Roman" w:hAnsi="Times New Roman"/>
          <w:sz w:val="22"/>
          <w:szCs w:val="22"/>
        </w:rPr>
      </w:pPr>
      <w:r>
        <w:rPr>
          <w:rFonts w:ascii="Times New Roman" w:hAnsi="Times New Roman"/>
          <w:sz w:val="22"/>
          <w:szCs w:val="22"/>
        </w:rPr>
        <w:t>29.3</w:t>
      </w:r>
      <w:r>
        <w:rPr>
          <w:rFonts w:ascii="Times New Roman" w:hAnsi="Times New Roman"/>
          <w:b/>
          <w:sz w:val="22"/>
          <w:szCs w:val="22"/>
        </w:rPr>
        <w:tab/>
      </w:r>
      <w:r>
        <w:rPr>
          <w:rFonts w:ascii="Times New Roman" w:hAnsi="Times New Roman"/>
          <w:sz w:val="22"/>
          <w:szCs w:val="22"/>
        </w:rPr>
        <w:t>The packaging shall become the property of the recipient subject to environmental considerations.</w:t>
      </w:r>
    </w:p>
    <w:p>
      <w:pPr>
        <w:pStyle w:val="Normal"/>
        <w:ind w:hanging="708" w:left="1134"/>
        <w:jc w:val="both"/>
        <w:rPr>
          <w:rFonts w:ascii="Times New Roman" w:hAnsi="Times New Roman"/>
          <w:b/>
          <w:sz w:val="22"/>
          <w:szCs w:val="22"/>
        </w:rPr>
      </w:pPr>
      <w:r>
        <w:rPr>
          <w:rFonts w:ascii="Times New Roman" w:hAnsi="Times New Roman"/>
          <w:sz w:val="22"/>
          <w:szCs w:val="22"/>
        </w:rPr>
        <w:t>29.4</w:t>
        <w:tab/>
      </w:r>
      <w:r>
        <w:rPr>
          <w:rFonts w:ascii="Times New Roman" w:hAnsi="Times New Roman"/>
          <w:sz w:val="22"/>
        </w:rPr>
        <w:t xml:space="preserve">The place of acceptance of the supplies shall be village Otoshnica and village </w:t>
      </w:r>
      <w:r>
        <w:rPr>
          <w:rFonts w:ascii="Times New Roman" w:hAnsi="Times New Roman"/>
          <w:lang w:eastAsia="mk-MK"/>
        </w:rPr>
        <w:t>Patralica</w:t>
      </w:r>
      <w:r>
        <w:rPr>
          <w:rFonts w:ascii="Times New Roman" w:hAnsi="Times New Roman"/>
          <w:sz w:val="22"/>
        </w:rPr>
        <w:t xml:space="preserve"> Municipality of Rankovce.</w:t>
      </w:r>
    </w:p>
    <w:p>
      <w:pPr>
        <w:pStyle w:val="Normal"/>
        <w:spacing w:before="40" w:after="40"/>
        <w:ind w:hanging="992" w:left="1134"/>
        <w:jc w:val="both"/>
        <w:rPr>
          <w:rFonts w:ascii="Times New Roman" w:hAnsi="Times New Roman"/>
          <w:sz w:val="22"/>
          <w:szCs w:val="22"/>
        </w:rPr>
      </w:pPr>
      <w:r>
        <w:rPr>
          <w:rFonts w:ascii="Times New Roman" w:hAnsi="Times New Roman"/>
          <w:sz w:val="22"/>
          <w:szCs w:val="22"/>
        </w:rPr>
        <w:t>29.5/6/7</w:t>
        <w:tab/>
        <w:t>The documents which shall accompany each delivery include as follows:</w:t>
      </w:r>
    </w:p>
    <w:p>
      <w:pPr>
        <w:pStyle w:val="ListParagraph"/>
        <w:numPr>
          <w:ilvl w:val="0"/>
          <w:numId w:val="6"/>
        </w:numPr>
        <w:spacing w:before="40" w:after="40"/>
        <w:ind w:hanging="142" w:left="1560"/>
        <w:jc w:val="both"/>
        <w:rPr>
          <w:rFonts w:ascii="Times New Roman" w:hAnsi="Times New Roman"/>
          <w:lang w:val="bg-BG"/>
        </w:rPr>
      </w:pPr>
      <w:r>
        <w:rPr>
          <w:rFonts w:ascii="Times New Roman" w:hAnsi="Times New Roman"/>
        </w:rPr>
        <w:t xml:space="preserve">an invoice in triplicate, where the name and reference number of the project and the tender procedure </w:t>
      </w:r>
      <w:r>
        <w:rPr>
          <w:rFonts w:ascii="Times New Roman" w:hAnsi="Times New Roman"/>
          <w:lang w:val="en-US"/>
        </w:rPr>
        <w:t>shall be included in the description</w:t>
      </w:r>
    </w:p>
    <w:p>
      <w:pPr>
        <w:pStyle w:val="ListParagraph"/>
        <w:numPr>
          <w:ilvl w:val="0"/>
          <w:numId w:val="6"/>
        </w:numPr>
        <w:tabs>
          <w:tab w:val="clear" w:pos="720"/>
          <w:tab w:val="left" w:pos="1485" w:leader="none"/>
        </w:tabs>
        <w:spacing w:before="40" w:after="40"/>
        <w:ind w:hanging="142" w:left="1560"/>
        <w:jc w:val="both"/>
        <w:rPr>
          <w:rFonts w:ascii="Times New Roman" w:hAnsi="Times New Roman"/>
        </w:rPr>
      </w:pPr>
      <w:r>
        <w:rPr>
          <w:rFonts w:ascii="Times New Roman" w:hAnsi="Times New Roman"/>
        </w:rPr>
        <w:t>Certificates/declarations of conformity of the equipment with the requirements of the European Norms or equivalent documents</w:t>
      </w:r>
    </w:p>
    <w:p>
      <w:pPr>
        <w:pStyle w:val="ListParagraph"/>
        <w:numPr>
          <w:ilvl w:val="0"/>
          <w:numId w:val="6"/>
        </w:numPr>
        <w:tabs>
          <w:tab w:val="clear" w:pos="720"/>
          <w:tab w:val="left" w:pos="1485" w:leader="none"/>
        </w:tabs>
        <w:spacing w:before="40" w:after="40"/>
        <w:ind w:hanging="142" w:left="1560"/>
        <w:jc w:val="both"/>
        <w:rPr>
          <w:rFonts w:ascii="Times New Roman" w:hAnsi="Times New Roman"/>
        </w:rPr>
      </w:pPr>
      <w:r>
        <w:rPr>
          <w:rFonts w:ascii="Times New Roman" w:hAnsi="Times New Roman"/>
          <w:lang w:val="en-US"/>
        </w:rPr>
        <w:t>a warranty certificates</w:t>
      </w:r>
    </w:p>
    <w:p>
      <w:pPr>
        <w:pStyle w:val="ListParagraph"/>
        <w:numPr>
          <w:ilvl w:val="0"/>
          <w:numId w:val="6"/>
        </w:numPr>
        <w:tabs>
          <w:tab w:val="clear" w:pos="720"/>
          <w:tab w:val="left" w:pos="1485" w:leader="none"/>
        </w:tabs>
        <w:spacing w:before="40" w:after="40"/>
        <w:ind w:hanging="142" w:left="1560"/>
        <w:jc w:val="both"/>
        <w:rPr>
          <w:rFonts w:ascii="Times New Roman" w:hAnsi="Times New Roman"/>
        </w:rPr>
      </w:pPr>
      <w:r>
        <w:rPr>
          <w:rFonts w:ascii="Times New Roman" w:hAnsi="Times New Roman"/>
        </w:rPr>
        <w:t>Technical documentation in Macedonian language, including the following:</w:t>
      </w:r>
    </w:p>
    <w:p>
      <w:pPr>
        <w:pStyle w:val="Normal"/>
        <w:numPr>
          <w:ilvl w:val="2"/>
          <w:numId w:val="7"/>
        </w:numPr>
        <w:tabs>
          <w:tab w:val="clear" w:pos="720"/>
          <w:tab w:val="left" w:pos="1485" w:leader="none"/>
        </w:tabs>
        <w:spacing w:before="40" w:after="40"/>
        <w:jc w:val="both"/>
        <w:rPr>
          <w:rFonts w:ascii="Times New Roman" w:hAnsi="Times New Roman"/>
          <w:sz w:val="22"/>
          <w:szCs w:val="22"/>
        </w:rPr>
      </w:pPr>
      <w:r>
        <w:rPr>
          <w:rFonts w:ascii="Times New Roman" w:hAnsi="Times New Roman"/>
          <w:sz w:val="22"/>
          <w:szCs w:val="22"/>
        </w:rPr>
        <w:t>Technical data and characteristics;</w:t>
      </w:r>
    </w:p>
    <w:p>
      <w:pPr>
        <w:pStyle w:val="Normal"/>
        <w:numPr>
          <w:ilvl w:val="2"/>
          <w:numId w:val="7"/>
        </w:numPr>
        <w:tabs>
          <w:tab w:val="clear" w:pos="720"/>
          <w:tab w:val="left" w:pos="1485" w:leader="none"/>
        </w:tabs>
        <w:spacing w:before="40" w:after="40"/>
        <w:jc w:val="both"/>
        <w:rPr>
          <w:rFonts w:ascii="Times New Roman" w:hAnsi="Times New Roman"/>
          <w:sz w:val="22"/>
          <w:szCs w:val="22"/>
        </w:rPr>
      </w:pPr>
      <w:r>
        <w:rPr>
          <w:rFonts w:ascii="Times New Roman" w:hAnsi="Times New Roman"/>
          <w:sz w:val="22"/>
          <w:szCs w:val="22"/>
        </w:rPr>
        <w:t>User manual.</w:t>
      </w:r>
    </w:p>
    <w:p>
      <w:pPr>
        <w:pStyle w:val="Normal"/>
        <w:spacing w:before="240" w:after="120"/>
        <w:ind w:hanging="1134" w:left="1134"/>
        <w:jc w:val="both"/>
        <w:rPr>
          <w:rFonts w:ascii="Times New Roman" w:hAnsi="Times New Roman"/>
          <w:b/>
          <w:sz w:val="24"/>
          <w:szCs w:val="24"/>
        </w:rPr>
      </w:pPr>
      <w:bookmarkStart w:id="22" w:name="_Toc124934914"/>
      <w:r>
        <w:rPr>
          <w:rFonts w:ascii="Times New Roman" w:hAnsi="Times New Roman"/>
          <w:b/>
          <w:sz w:val="24"/>
          <w:szCs w:val="24"/>
        </w:rPr>
        <w:t>Article 31</w:t>
        <w:tab/>
        <w:t>Provisional acceptance</w:t>
      </w:r>
      <w:bookmarkEnd w:id="22"/>
    </w:p>
    <w:p>
      <w:pPr>
        <w:pStyle w:val="Normal"/>
        <w:ind w:left="1134"/>
        <w:jc w:val="both"/>
        <w:rPr>
          <w:rFonts w:ascii="Times New Roman" w:hAnsi="Times New Roman"/>
          <w:sz w:val="22"/>
          <w:szCs w:val="22"/>
        </w:rPr>
      </w:pPr>
      <w:r>
        <w:rPr>
          <w:rFonts w:ascii="Times New Roman" w:hAnsi="Times New Roman"/>
          <w:sz w:val="22"/>
          <w:szCs w:val="22"/>
        </w:rPr>
        <w:t>The certificate of provisional acceptance must be issued using the template in Annex C11</w:t>
      </w:r>
    </w:p>
    <w:p>
      <w:pPr>
        <w:pStyle w:val="Normal"/>
        <w:spacing w:before="240" w:after="120"/>
        <w:ind w:hanging="1134" w:left="1134"/>
        <w:jc w:val="both"/>
        <w:rPr>
          <w:rFonts w:ascii="Times New Roman" w:hAnsi="Times New Roman"/>
          <w:b/>
          <w:sz w:val="24"/>
          <w:szCs w:val="24"/>
        </w:rPr>
      </w:pPr>
      <w:bookmarkStart w:id="23" w:name="_Toc124934915"/>
      <w:r>
        <w:rPr>
          <w:rFonts w:ascii="Times New Roman" w:hAnsi="Times New Roman"/>
          <w:b/>
          <w:sz w:val="24"/>
          <w:szCs w:val="24"/>
        </w:rPr>
        <w:t>Article 32</w:t>
        <w:tab/>
        <w:t>Warranty</w:t>
      </w:r>
      <w:bookmarkEnd w:id="23"/>
      <w:r>
        <w:rPr>
          <w:rFonts w:ascii="Times New Roman" w:hAnsi="Times New Roman"/>
          <w:b/>
          <w:sz w:val="24"/>
          <w:szCs w:val="24"/>
        </w:rPr>
        <w:t xml:space="preserve"> obligations</w:t>
      </w:r>
    </w:p>
    <w:p>
      <w:pPr>
        <w:pStyle w:val="Normal"/>
        <w:ind w:hanging="708" w:left="1134"/>
        <w:jc w:val="both"/>
        <w:rPr>
          <w:rFonts w:ascii="Times New Roman" w:hAnsi="Times New Roman"/>
          <w:sz w:val="22"/>
          <w:szCs w:val="22"/>
        </w:rPr>
      </w:pPr>
      <w:r>
        <w:rPr>
          <w:rFonts w:ascii="Times New Roman" w:hAnsi="Times New Roman"/>
          <w:sz w:val="22"/>
          <w:szCs w:val="22"/>
        </w:rPr>
        <w:t>32.7</w:t>
        <w:tab/>
        <w:t>The warranty must remain valid for one year after provisional acceptance.</w:t>
      </w:r>
    </w:p>
    <w:p>
      <w:pPr>
        <w:pStyle w:val="Normal"/>
        <w:spacing w:before="240" w:after="120"/>
        <w:ind w:hanging="1134" w:left="1134"/>
        <w:jc w:val="both"/>
        <w:rPr>
          <w:rFonts w:ascii="Times New Roman" w:hAnsi="Times New Roman"/>
          <w:b/>
          <w:sz w:val="24"/>
          <w:szCs w:val="24"/>
        </w:rPr>
      </w:pPr>
      <w:bookmarkStart w:id="24" w:name="_Toc119839451"/>
      <w:bookmarkStart w:id="25" w:name="_Toc124934916"/>
      <w:r>
        <w:rPr>
          <w:rFonts w:ascii="Times New Roman" w:hAnsi="Times New Roman"/>
          <w:b/>
          <w:sz w:val="24"/>
          <w:szCs w:val="24"/>
        </w:rPr>
        <w:t>Article 33</w:t>
        <w:tab/>
        <w:t>After-sales service</w:t>
      </w:r>
      <w:bookmarkEnd w:id="24"/>
      <w:bookmarkEnd w:id="25"/>
    </w:p>
    <w:p>
      <w:pPr>
        <w:pStyle w:val="Normal"/>
        <w:ind w:hanging="708" w:left="1134"/>
        <w:jc w:val="both"/>
        <w:rPr>
          <w:rFonts w:ascii="Times New Roman" w:hAnsi="Times New Roman"/>
          <w:sz w:val="22"/>
          <w:szCs w:val="22"/>
        </w:rPr>
      </w:pPr>
      <w:r>
        <w:rPr>
          <w:rFonts w:ascii="Times New Roman" w:hAnsi="Times New Roman"/>
          <w:sz w:val="22"/>
          <w:szCs w:val="22"/>
        </w:rPr>
        <w:t>33.1</w:t>
        <w:tab/>
        <w:t>The Contractor is obliged to submit with the list of authorized services. The bidder is obliged to pay at his own expense within the warranty period eliminate all defects and defects that are the subject of the warranty.</w:t>
      </w:r>
    </w:p>
    <w:p>
      <w:pPr>
        <w:pStyle w:val="Normal"/>
        <w:spacing w:before="240" w:after="120"/>
        <w:ind w:hanging="1134" w:left="1134"/>
        <w:jc w:val="both"/>
        <w:rPr>
          <w:rFonts w:ascii="Times New Roman" w:hAnsi="Times New Roman"/>
          <w:b/>
          <w:sz w:val="24"/>
          <w:szCs w:val="24"/>
        </w:rPr>
      </w:pPr>
      <w:bookmarkStart w:id="26" w:name="_Toc124934917"/>
      <w:r>
        <w:rPr>
          <w:rFonts w:ascii="Times New Roman" w:hAnsi="Times New Roman"/>
          <w:b/>
          <w:sz w:val="24"/>
          <w:szCs w:val="24"/>
        </w:rPr>
        <w:t>Article 40</w:t>
        <w:tab/>
        <w:t>Settlement of disputes</w:t>
      </w:r>
      <w:bookmarkEnd w:id="26"/>
    </w:p>
    <w:p>
      <w:pPr>
        <w:pStyle w:val="Normal"/>
        <w:spacing w:before="0" w:after="120"/>
        <w:ind w:hanging="708" w:left="1134"/>
        <w:jc w:val="both"/>
        <w:rPr>
          <w:rFonts w:ascii="Times New Roman" w:hAnsi="Times New Roman"/>
          <w:sz w:val="22"/>
          <w:szCs w:val="22"/>
          <w:highlight w:val="yellow"/>
        </w:rPr>
      </w:pPr>
      <w:r>
        <w:rPr>
          <w:rFonts w:ascii="Times New Roman" w:hAnsi="Times New Roman"/>
          <w:sz w:val="22"/>
          <w:szCs w:val="22"/>
        </w:rPr>
        <w:t>40.4</w:t>
        <w:tab/>
        <w:t xml:space="preserve">Any disputes arising out of or relating to this contract which cannot be settled otherwise shall be referred to the exclusive jurisdiction of </w:t>
      </w:r>
      <w:r>
        <w:rPr>
          <w:rFonts w:ascii="Times New Roman" w:hAnsi="Times New Roman"/>
          <w:sz w:val="22"/>
          <w:szCs w:val="22"/>
          <w:lang w:bidi="kn-IN"/>
        </w:rPr>
        <w:t xml:space="preserve">Court of law in </w:t>
      </w:r>
      <w:r>
        <w:rPr>
          <w:rFonts w:ascii="Times New Roman" w:hAnsi="Times New Roman"/>
          <w:sz w:val="22"/>
          <w:szCs w:val="22"/>
          <w:lang w:bidi="kn-IN"/>
        </w:rPr>
        <w:t>Rankovce</w:t>
      </w:r>
      <w:r>
        <w:rPr>
          <w:rFonts w:ascii="Times New Roman" w:hAnsi="Times New Roman"/>
          <w:sz w:val="22"/>
          <w:szCs w:val="22"/>
          <w:lang w:bidi="kn-IN"/>
        </w:rPr>
        <w:t xml:space="preserve"> </w:t>
      </w:r>
      <w:r>
        <w:rPr>
          <w:rFonts w:ascii="Times New Roman" w:hAnsi="Times New Roman"/>
          <w:sz w:val="22"/>
          <w:szCs w:val="22"/>
        </w:rPr>
        <w:t>in accordance with the national legislation of the state of the contracting authority.</w:t>
      </w:r>
    </w:p>
    <w:p>
      <w:pPr>
        <w:pStyle w:val="Normal"/>
        <w:keepNext w:val="true"/>
        <w:keepLines/>
        <w:tabs>
          <w:tab w:val="clear" w:pos="720"/>
          <w:tab w:val="left" w:pos="1134" w:leader="none"/>
        </w:tabs>
        <w:spacing w:before="240" w:after="0"/>
        <w:ind w:hanging="1134" w:left="1134"/>
        <w:rPr>
          <w:rFonts w:ascii="Times New Roman" w:hAnsi="Times New Roman"/>
          <w:b/>
          <w:sz w:val="24"/>
          <w:szCs w:val="24"/>
          <w:highlight w:val="lightGray"/>
        </w:rPr>
      </w:pPr>
      <w:r>
        <w:rPr>
          <w:rFonts w:ascii="Times New Roman" w:hAnsi="Times New Roman"/>
          <w:b/>
          <w:sz w:val="24"/>
          <w:szCs w:val="24"/>
        </w:rPr>
        <w:t>Article 44</w:t>
        <w:tab/>
        <w:t>Data protection</w:t>
      </w:r>
    </w:p>
    <w:p>
      <w:pPr>
        <w:pStyle w:val="Normal"/>
        <w:spacing w:before="0" w:after="120"/>
        <w:jc w:val="both"/>
        <w:rPr>
          <w:rFonts w:ascii="Times New Roman" w:hAnsi="Times New Roman"/>
          <w:sz w:val="22"/>
          <w:szCs w:val="22"/>
        </w:rPr>
      </w:pPr>
      <w:r>
        <w:rPr>
          <w:rFonts w:ascii="Times New Roman" w:hAnsi="Times New Roman"/>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pPr>
        <w:pStyle w:val="Normal"/>
        <w:spacing w:before="0" w:after="120"/>
        <w:jc w:val="both"/>
        <w:rPr>
          <w:rFonts w:ascii="Times New Roman" w:hAnsi="Times New Roman"/>
          <w:sz w:val="22"/>
          <w:szCs w:val="22"/>
          <w:u w:val="single"/>
        </w:rPr>
      </w:pPr>
      <w:r>
        <w:rPr>
          <w:rFonts w:ascii="Times New Roman" w:hAnsi="Times New Roman"/>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personnel,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rStyle w:val="FootnoteReference"/>
          <w:rFonts w:ascii="Times New Roman" w:hAnsi="Times New Roman"/>
          <w:sz w:val="22"/>
          <w:szCs w:val="22"/>
        </w:rPr>
        <w:footnoteReference w:id="5"/>
      </w:r>
      <w:r>
        <w:rPr>
          <w:rFonts w:ascii="Times New Roman" w:hAnsi="Times New Roman"/>
          <w:sz w:val="22"/>
          <w:szCs w:val="22"/>
        </w:rPr>
        <w:t xml:space="preserve"> and as detailed in the specific privacy statement published at ePRAG.</w:t>
      </w:r>
    </w:p>
    <w:p>
      <w:pPr>
        <w:pStyle w:val="ListNumber"/>
        <w:numPr>
          <w:ilvl w:val="0"/>
          <w:numId w:val="0"/>
        </w:numPr>
        <w:spacing w:before="360" w:afterAutospacing="1"/>
        <w:ind w:hanging="425" w:left="1984"/>
        <w:jc w:val="center"/>
        <w:rPr>
          <w:sz w:val="22"/>
          <w:szCs w:val="22"/>
        </w:rPr>
      </w:pPr>
      <w:r>
        <w:rPr>
          <w:sz w:val="22"/>
          <w:szCs w:val="22"/>
        </w:rPr>
        <w:t>* * *</w:t>
      </w:r>
    </w:p>
    <w:sectPr>
      <w:headerReference w:type="even" r:id="rId4"/>
      <w:headerReference w:type="default" r:id="rId5"/>
      <w:headerReference w:type="first" r:id="rId6"/>
      <w:footerReference w:type="even" r:id="rId7"/>
      <w:footerReference w:type="default" r:id="rId8"/>
      <w:footerReference w:type="first" r:id="rId9"/>
      <w:footnotePr>
        <w:numFmt w:val="decimal"/>
        <w:numRestart w:val="eachPage"/>
      </w:footnotePr>
      <w:type w:val="nextPage"/>
      <w:pgSz w:w="11906" w:h="16838"/>
      <w:pgMar w:left="851" w:right="1440" w:gutter="567" w:header="720" w:top="1440" w:footer="568"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Optima">
    <w:charset w:val="00"/>
    <w:family w:val="swiss"/>
    <w:pitch w:val="variable"/>
  </w:font>
  <w:font w:name="Tahoma">
    <w:charset w:val="00"/>
    <w:family w:val="swiss"/>
    <w:pitch w:val="variable"/>
  </w:font>
  <w:font w:name="Calibri">
    <w:charset w:val="00"/>
    <w:family w:val="swiss"/>
    <w:pitch w:val="variable"/>
  </w:font>
  <w:font w:name="Times New Roman Bold">
    <w:charset w:val="00"/>
    <w:family w:val="roman"/>
    <w:pitch w:val="variable"/>
  </w:font>
  <w:font w:name="OpenSymbol">
    <w:altName w:val="Arial Unicode MS"/>
    <w:charset w:val="01"/>
    <w:family w:val="auto"/>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ind w:right="360"/>
      <w:rPr/>
    </w:pPr>
    <w:r>
      <w:rPr/>
      <mc:AlternateContent>
        <mc:Choice Requires="wps">
          <w:drawing>
            <wp:anchor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spacing w:before="12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spacing w:before="12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8647" w:leader="none"/>
      </w:tabs>
      <w:spacing w:before="120" w:after="0"/>
      <w:ind w:right="6"/>
      <w:rPr>
        <w:rStyle w:val="PageNumber"/>
        <w:rFonts w:ascii="Times New Roman" w:hAnsi="Times New Roman"/>
        <w:sz w:val="18"/>
        <w:szCs w:val="18"/>
        <w:lang w:val="en-GB"/>
      </w:rPr>
    </w:pPr>
    <w:r>
      <w:rPr>
        <w:rFonts w:ascii="Times New Roman" w:hAnsi="Times New Roman"/>
        <w:b/>
        <w:sz w:val="18"/>
        <w:lang w:val="en-GB"/>
      </w:rPr>
      <w:t>2025</w:t>
    </w:r>
    <w:r>
      <w:rPr>
        <w:rFonts w:ascii="Times New Roman" w:hAnsi="Times New Roman"/>
        <w:sz w:val="18"/>
        <w:szCs w:val="18"/>
        <w:lang w:val="en-GB"/>
      </w:rPr>
      <w:tab/>
    </w:r>
    <w:r>
      <w:rPr>
        <w:rStyle w:val="PageNumber"/>
        <w:rFonts w:ascii="Times New Roman" w:hAnsi="Times New Roman"/>
        <w:sz w:val="18"/>
        <w:szCs w:val="18"/>
        <w:lang w:val="en-GB"/>
      </w:rPr>
      <w:t xml:space="preserve">Page </w:t>
    </w:r>
    <w:r>
      <w:rPr>
        <w:rStyle w:val="PageNumber"/>
        <w:rFonts w:ascii="Times New Roman" w:hAnsi="Times New Roman"/>
        <w:sz w:val="18"/>
        <w:szCs w:val="18"/>
        <w:lang w:val="en-GB"/>
      </w:rPr>
      <w:fldChar w:fldCharType="begin"/>
    </w:r>
    <w:r>
      <w:rPr>
        <w:rStyle w:val="PageNumber"/>
        <w:rFonts w:ascii="Times New Roman" w:hAnsi="Times New Roman"/>
        <w:sz w:val="18"/>
        <w:szCs w:val="18"/>
        <w:lang w:val="en-GB"/>
      </w:rPr>
      <w:instrText xml:space="preserve"> PAGE </w:instrText>
    </w:r>
    <w:r>
      <w:rPr>
        <w:rStyle w:val="PageNumber"/>
        <w:rFonts w:ascii="Times New Roman" w:hAnsi="Times New Roman"/>
        <w:sz w:val="18"/>
        <w:szCs w:val="18"/>
        <w:lang w:val="en-GB"/>
      </w:rPr>
      <w:fldChar w:fldCharType="separate"/>
    </w:r>
    <w:r>
      <w:rPr>
        <w:rStyle w:val="PageNumber"/>
        <w:rFonts w:ascii="Times New Roman" w:hAnsi="Times New Roman"/>
        <w:sz w:val="18"/>
        <w:szCs w:val="18"/>
        <w:lang w:val="en-GB"/>
      </w:rPr>
      <w:t>7</w:t>
    </w:r>
    <w:r>
      <w:rPr>
        <w:rStyle w:val="PageNumber"/>
        <w:rFonts w:ascii="Times New Roman" w:hAnsi="Times New Roman"/>
        <w:sz w:val="18"/>
        <w:szCs w:val="18"/>
        <w:lang w:val="en-GB"/>
      </w:rPr>
      <w:fldChar w:fldCharType="end"/>
    </w:r>
    <w:r>
      <w:rPr>
        <w:rStyle w:val="PageNumber"/>
        <w:rFonts w:ascii="Times New Roman" w:hAnsi="Times New Roman"/>
        <w:sz w:val="18"/>
        <w:szCs w:val="18"/>
        <w:lang w:val="en-GB"/>
      </w:rPr>
      <w:t xml:space="preserve"> of </w:t>
    </w:r>
    <w:r>
      <w:rPr>
        <w:rStyle w:val="PageNumber"/>
        <w:rFonts w:ascii="Times New Roman" w:hAnsi="Times New Roman"/>
        <w:sz w:val="18"/>
        <w:szCs w:val="18"/>
        <w:lang w:val="en-GB"/>
      </w:rPr>
      <w:fldChar w:fldCharType="begin"/>
    </w:r>
    <w:r>
      <w:rPr>
        <w:rStyle w:val="PageNumber"/>
        <w:rFonts w:ascii="Times New Roman" w:hAnsi="Times New Roman"/>
        <w:sz w:val="18"/>
        <w:szCs w:val="18"/>
        <w:lang w:val="en-GB"/>
      </w:rPr>
      <w:instrText xml:space="preserve"> NUMPAGES </w:instrText>
    </w:r>
    <w:r>
      <w:rPr>
        <w:rStyle w:val="PageNumber"/>
        <w:rFonts w:ascii="Times New Roman" w:hAnsi="Times New Roman"/>
        <w:sz w:val="18"/>
        <w:szCs w:val="18"/>
        <w:lang w:val="en-GB"/>
      </w:rPr>
      <w:fldChar w:fldCharType="separate"/>
    </w:r>
    <w:r>
      <w:rPr>
        <w:rStyle w:val="PageNumber"/>
        <w:rFonts w:ascii="Times New Roman" w:hAnsi="Times New Roman"/>
        <w:sz w:val="18"/>
        <w:szCs w:val="18"/>
        <w:lang w:val="en-GB"/>
      </w:rPr>
      <w:t>7</w:t>
    </w:r>
    <w:r>
      <w:rPr>
        <w:rStyle w:val="PageNumber"/>
        <w:rFonts w:ascii="Times New Roman" w:hAnsi="Times New Roman"/>
        <w:sz w:val="18"/>
        <w:szCs w:val="18"/>
        <w:lang w:val="en-GB"/>
      </w:rPr>
      <w:fldChar w:fldCharType="end"/>
    </w:r>
  </w:p>
  <w:p>
    <w:pPr>
      <w:pStyle w:val="Normal"/>
      <w:spacing w:before="0" w:after="0"/>
      <w:rPr>
        <w:rFonts w:ascii="Times New Roman" w:hAnsi="Times New Roman"/>
        <w:sz w:val="18"/>
        <w:szCs w:val="18"/>
      </w:rPr>
    </w:pPr>
    <w:r>
      <w:rPr/>
      <w:fldChar w:fldCharType="begin"/>
    </w:r>
    <w:r>
      <w:rPr/>
      <w:instrText xml:space="preserve"> FILENAME </w:instrText>
    </w:r>
    <w:r>
      <w:rPr/>
      <w:fldChar w:fldCharType="separate"/>
    </w:r>
    <w:r>
      <w:rPr/>
      <w:t>c4d_specialconditions_en.docx</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8647" w:leader="none"/>
      </w:tabs>
      <w:spacing w:before="120" w:after="0"/>
      <w:ind w:right="6"/>
      <w:rPr>
        <w:rStyle w:val="PageNumber"/>
        <w:rFonts w:ascii="Times New Roman" w:hAnsi="Times New Roman"/>
        <w:sz w:val="18"/>
        <w:szCs w:val="18"/>
        <w:lang w:val="en-GB"/>
      </w:rPr>
    </w:pPr>
    <w:r>
      <w:rPr>
        <w:rFonts w:ascii="Times New Roman" w:hAnsi="Times New Roman"/>
        <w:b/>
        <w:sz w:val="18"/>
        <w:lang w:val="en-GB"/>
      </w:rPr>
      <w:t>2025</w:t>
    </w:r>
    <w:r>
      <w:rPr>
        <w:rFonts w:ascii="Times New Roman" w:hAnsi="Times New Roman"/>
        <w:sz w:val="18"/>
        <w:szCs w:val="18"/>
        <w:lang w:val="en-GB"/>
      </w:rPr>
      <w:tab/>
    </w:r>
    <w:r>
      <w:rPr>
        <w:rStyle w:val="PageNumber"/>
        <w:rFonts w:ascii="Times New Roman" w:hAnsi="Times New Roman"/>
        <w:sz w:val="18"/>
        <w:szCs w:val="18"/>
        <w:lang w:val="en-GB"/>
      </w:rPr>
      <w:t xml:space="preserve">Page </w:t>
    </w:r>
    <w:r>
      <w:rPr>
        <w:rStyle w:val="PageNumber"/>
        <w:rFonts w:ascii="Times New Roman" w:hAnsi="Times New Roman"/>
        <w:sz w:val="18"/>
        <w:szCs w:val="18"/>
        <w:lang w:val="en-GB"/>
      </w:rPr>
      <w:fldChar w:fldCharType="begin"/>
    </w:r>
    <w:r>
      <w:rPr>
        <w:rStyle w:val="PageNumber"/>
        <w:rFonts w:ascii="Times New Roman" w:hAnsi="Times New Roman"/>
        <w:sz w:val="18"/>
        <w:szCs w:val="18"/>
        <w:lang w:val="en-GB"/>
      </w:rPr>
      <w:instrText xml:space="preserve"> PAGE </w:instrText>
    </w:r>
    <w:r>
      <w:rPr>
        <w:rStyle w:val="PageNumber"/>
        <w:rFonts w:ascii="Times New Roman" w:hAnsi="Times New Roman"/>
        <w:sz w:val="18"/>
        <w:szCs w:val="18"/>
        <w:lang w:val="en-GB"/>
      </w:rPr>
      <w:fldChar w:fldCharType="separate"/>
    </w:r>
    <w:r>
      <w:rPr>
        <w:rStyle w:val="PageNumber"/>
        <w:rFonts w:ascii="Times New Roman" w:hAnsi="Times New Roman"/>
        <w:sz w:val="18"/>
        <w:szCs w:val="18"/>
        <w:lang w:val="en-GB"/>
      </w:rPr>
      <w:t>7</w:t>
    </w:r>
    <w:r>
      <w:rPr>
        <w:rStyle w:val="PageNumber"/>
        <w:rFonts w:ascii="Times New Roman" w:hAnsi="Times New Roman"/>
        <w:sz w:val="18"/>
        <w:szCs w:val="18"/>
        <w:lang w:val="en-GB"/>
      </w:rPr>
      <w:fldChar w:fldCharType="end"/>
    </w:r>
    <w:r>
      <w:rPr>
        <w:rStyle w:val="PageNumber"/>
        <w:rFonts w:ascii="Times New Roman" w:hAnsi="Times New Roman"/>
        <w:sz w:val="18"/>
        <w:szCs w:val="18"/>
        <w:lang w:val="en-GB"/>
      </w:rPr>
      <w:t xml:space="preserve"> of </w:t>
    </w:r>
    <w:r>
      <w:rPr>
        <w:rStyle w:val="PageNumber"/>
        <w:rFonts w:ascii="Times New Roman" w:hAnsi="Times New Roman"/>
        <w:sz w:val="18"/>
        <w:szCs w:val="18"/>
        <w:lang w:val="en-GB"/>
      </w:rPr>
      <w:fldChar w:fldCharType="begin"/>
    </w:r>
    <w:r>
      <w:rPr>
        <w:rStyle w:val="PageNumber"/>
        <w:rFonts w:ascii="Times New Roman" w:hAnsi="Times New Roman"/>
        <w:sz w:val="18"/>
        <w:szCs w:val="18"/>
        <w:lang w:val="en-GB"/>
      </w:rPr>
      <w:instrText xml:space="preserve"> NUMPAGES </w:instrText>
    </w:r>
    <w:r>
      <w:rPr>
        <w:rStyle w:val="PageNumber"/>
        <w:rFonts w:ascii="Times New Roman" w:hAnsi="Times New Roman"/>
        <w:sz w:val="18"/>
        <w:szCs w:val="18"/>
        <w:lang w:val="en-GB"/>
      </w:rPr>
      <w:fldChar w:fldCharType="separate"/>
    </w:r>
    <w:r>
      <w:rPr>
        <w:rStyle w:val="PageNumber"/>
        <w:rFonts w:ascii="Times New Roman" w:hAnsi="Times New Roman"/>
        <w:sz w:val="18"/>
        <w:szCs w:val="18"/>
        <w:lang w:val="en-GB"/>
      </w:rPr>
      <w:t>7</w:t>
    </w:r>
    <w:r>
      <w:rPr>
        <w:rStyle w:val="PageNumber"/>
        <w:rFonts w:ascii="Times New Roman" w:hAnsi="Times New Roman"/>
        <w:sz w:val="18"/>
        <w:szCs w:val="18"/>
        <w:lang w:val="en-GB"/>
      </w:rPr>
      <w:fldChar w:fldCharType="end"/>
    </w:r>
  </w:p>
  <w:p>
    <w:pPr>
      <w:pStyle w:val="Normal"/>
      <w:spacing w:before="0" w:after="0"/>
      <w:rPr>
        <w:rFonts w:ascii="Times New Roman" w:hAnsi="Times New Roman"/>
        <w:sz w:val="18"/>
        <w:szCs w:val="18"/>
      </w:rPr>
    </w:pPr>
    <w:r>
      <w:rPr/>
      <w:fldChar w:fldCharType="begin"/>
    </w:r>
    <w:r>
      <w:rPr/>
      <w:instrText xml:space="preserve"> FILENAME </w:instrText>
    </w:r>
    <w:r>
      <w:rPr/>
      <w:fldChar w:fldCharType="separate"/>
    </w:r>
    <w:r>
      <w:rPr/>
      <w:t>c4d_specialconditions_en.docx</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lang w:val="en-IE"/>
        </w:rPr>
      </w:pPr>
      <w:r>
        <w:rPr>
          <w:rStyle w:val="FootnoteCharacters"/>
        </w:rPr>
        <w:footnoteRef/>
      </w:r>
      <w:r>
        <w:rPr>
          <w:lang w:val="en-IE"/>
        </w:rPr>
        <w:t xml:space="preserve"> </w:t>
      </w:r>
      <w:r>
        <w:rPr>
          <w:lang w:val="en-IE"/>
        </w:rPr>
        <w:t>Idem.</w:t>
      </w:r>
    </w:p>
  </w:footnote>
  <w:footnote w:id="3">
    <w:p>
      <w:pPr>
        <w:pStyle w:val="FootnoteText"/>
        <w:spacing w:before="0" w:after="120"/>
        <w:rPr>
          <w:highlight w:val="yellow"/>
          <w:lang w:val="en-GB"/>
        </w:rPr>
      </w:pPr>
      <w:r>
        <w:rPr>
          <w:rStyle w:val="FootnoteCharacters"/>
        </w:rPr>
        <w:footnoteRef/>
      </w:r>
      <w:r>
        <w:rPr/>
      </w:r>
    </w:p>
  </w:footnote>
  <w:footnote w:id="4">
    <w:p>
      <w:pPr>
        <w:pStyle w:val="FootnoteText"/>
        <w:spacing w:before="0" w:after="120"/>
        <w:rPr>
          <w:lang w:val="en-IE"/>
        </w:rPr>
      </w:pPr>
      <w:r>
        <w:rPr>
          <w:rStyle w:val="FootnoteCharacters"/>
        </w:rPr>
        <w:footnoteRef/>
      </w:r>
      <w:r>
        <w:rPr>
          <w:lang w:val="en-IE"/>
        </w:rPr>
        <w:tab/>
        <w:t xml:space="preserve">DAP (Delivered At Place)- Incoterms 2020 International Chamber of Commerce - </w:t>
      </w:r>
      <w:hyperlink r:id="rId1">
        <w:r>
          <w:rPr>
            <w:rStyle w:val="Hyperlink"/>
            <w:lang w:val="en-GB"/>
          </w:rPr>
          <w:t>http://www.iccwbo.org/incoterms/</w:t>
        </w:r>
      </w:hyperlink>
    </w:p>
  </w:footnote>
  <w:footnote w:id="5">
    <w:p>
      <w:pPr>
        <w:pStyle w:val="FootnoteText"/>
        <w:spacing w:before="0" w:after="120"/>
        <w:ind w:hanging="142" w:left="142"/>
        <w:jc w:val="both"/>
        <w:rPr/>
      </w:pPr>
      <w:r>
        <w:rPr>
          <w:rStyle w:val="FootnoteCharacters"/>
        </w:rPr>
        <w:footnoteRef/>
      </w:r>
      <w:r>
        <w:rPr/>
        <w:t xml:space="preserve"> </w:t>
      </w:r>
      <w:r>
        <w:rPr/>
        <w:t>OJ L 205 of 21.11.2018, p. 39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lvlText w:val="%1"/>
      <w:lvlJc w:val="left"/>
      <w:pPr>
        <w:tabs>
          <w:tab w:val="num" w:pos="567"/>
        </w:tabs>
        <w:ind w:left="567" w:hanging="567"/>
      </w:pPr>
      <w:rPr>
        <w:rFonts w:ascii="Arial" w:hAnsi="Arial"/>
        <w:b/>
        <w:i w:val="false"/>
        <w:sz w:val="20"/>
      </w:rPr>
    </w:lvl>
    <w:lvl w:ilvl="1">
      <w:start w:val="1"/>
      <w:numFmt w:val="decimal"/>
      <w:lvlText w:val="%1.%2"/>
      <w:lvlJc w:val="left"/>
      <w:pPr>
        <w:tabs>
          <w:tab w:val="num" w:pos="567"/>
        </w:tabs>
        <w:ind w:left="567" w:hanging="567"/>
      </w:pPr>
      <w:rPr>
        <w:rFonts w:ascii="Arial" w:hAnsi="Arial"/>
        <w:b w:val="false"/>
        <w:i w:val="false"/>
        <w:sz w:val="20"/>
      </w:rPr>
    </w:lvl>
    <w:lvl w:ilvl="2">
      <w:start w:val="1"/>
      <w:numFmt w:val="lowerLetter"/>
      <w:lvlText w:val="%3)"/>
      <w:lvlJc w:val="left"/>
      <w:pPr>
        <w:tabs>
          <w:tab w:val="num" w:pos="1134"/>
        </w:tabs>
        <w:ind w:left="1134" w:hanging="567"/>
      </w:pPr>
      <w:rPr>
        <w:rFonts w:ascii="Arial" w:hAnsi="Arial"/>
        <w:b w:val="false"/>
        <w:i w:val="false"/>
        <w:sz w:val="20"/>
      </w:rPr>
    </w:lvl>
    <w:lvl w:ilvl="3">
      <w:start w:val="1"/>
      <w:numFmt w:val="decimal"/>
      <w:pStyle w:val="Heading4"/>
      <w:lvlText w:val="%1.%2.%3.%4"/>
      <w:lvlJc w:val="left"/>
      <w:pPr>
        <w:tabs>
          <w:tab w:val="num" w:pos="864"/>
        </w:tabs>
        <w:ind w:left="864" w:hanging="864"/>
      </w:pPr>
      <w:rPr/>
    </w:lvl>
    <w:lvl w:ilvl="4">
      <w:start w:val="1"/>
      <w:numFmt w:val="decimal"/>
      <w:pStyle w:val="Heading5"/>
      <w:lvlText w:val="%1.%2.%3.%4.%5"/>
      <w:lvlJc w:val="left"/>
      <w:pPr>
        <w:tabs>
          <w:tab w:val="num" w:pos="1008"/>
        </w:tabs>
        <w:ind w:left="1008" w:hanging="1008"/>
      </w:pPr>
      <w:rPr/>
    </w:lvl>
    <w:lvl w:ilvl="5">
      <w:start w:val="1"/>
      <w:numFmt w:val="none"/>
      <w:pStyle w:val="Heading6"/>
      <w:suff w:val="nothing"/>
      <w:lvlText w:val=""/>
      <w:lvlJc w:val="left"/>
      <w:pPr>
        <w:tabs>
          <w:tab w:val="num" w:pos="0"/>
        </w:tabs>
        <w:ind w:left="0" w:hanging="0"/>
      </w:pPr>
      <w:rPr/>
    </w:lvl>
    <w:lvl w:ilvl="6">
      <w:start w:val="1"/>
      <w:numFmt w:val="decimal"/>
      <w:pStyle w:val="Heading7"/>
      <w:lvlText w:val="%1.%2.%3.%4.%5.%6%7"/>
      <w:lvlJc w:val="left"/>
      <w:pPr>
        <w:tabs>
          <w:tab w:val="num" w:pos="1296"/>
        </w:tabs>
        <w:ind w:left="1296" w:hanging="1296"/>
      </w:pPr>
      <w:rPr/>
    </w:lvl>
    <w:lvl w:ilvl="7">
      <w:start w:val="1"/>
      <w:numFmt w:val="decimal"/>
      <w:pStyle w:val="Heading8"/>
      <w:lvlText w:val="%1.%2.%3.%4.%5.%6%7.%8"/>
      <w:lvlJc w:val="left"/>
      <w:pPr>
        <w:tabs>
          <w:tab w:val="num" w:pos="1440"/>
        </w:tabs>
        <w:ind w:left="1440" w:hanging="1440"/>
      </w:pPr>
      <w:rPr/>
    </w:lvl>
    <w:lvl w:ilvl="8">
      <w:start w:val="1"/>
      <w:numFmt w:val="decimal"/>
      <w:pStyle w:val="Heading9"/>
      <w:lvlText w:val="%1.%2.%3.%4.%5.%6%7.%8.%9"/>
      <w:lvlJc w:val="left"/>
      <w:pPr>
        <w:tabs>
          <w:tab w:val="num" w:pos="1584"/>
        </w:tabs>
        <w:ind w:left="1584" w:hanging="1584"/>
      </w:pPr>
      <w:rPr/>
    </w:lvl>
  </w:abstractNum>
  <w:abstractNum w:abstractNumId="2">
    <w:lvl w:ilvl="0">
      <w:numFmt w:val="bullet"/>
      <w:lvlText w:val="-"/>
      <w:lvlJc w:val="left"/>
      <w:pPr>
        <w:tabs>
          <w:tab w:val="num" w:pos="360"/>
        </w:tabs>
        <w:ind w:left="360" w:hanging="360"/>
      </w:pPr>
      <w:rPr>
        <w:rFonts w:ascii="OpenSymbol" w:hAnsi="OpenSymbol" w:cs="Open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lowerLetter"/>
      <w:lvlText w:val="(%1)"/>
      <w:lvlJc w:val="left"/>
      <w:pPr>
        <w:tabs>
          <w:tab w:val="num" w:pos="1134"/>
        </w:tabs>
        <w:ind w:left="1701" w:hanging="567"/>
      </w:pPr>
      <w:rPr>
        <w:rFonts w:ascii="Times New Roman Bold" w:hAnsi="Times New Roman Bold"/>
        <w:b w:val="false"/>
        <w:i w:val="false"/>
        <w:sz w:val="22"/>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1189"/>
        </w:tabs>
        <w:ind w:left="1189" w:hanging="709"/>
      </w:pPr>
      <w:rPr/>
    </w:lvl>
    <w:lvl w:ilvl="1">
      <w:start w:val="1"/>
      <w:numFmt w:val="lowerLetter"/>
      <w:lvlText w:val="(%2)"/>
      <w:lvlJc w:val="left"/>
      <w:pPr>
        <w:tabs>
          <w:tab w:val="num" w:pos="1897"/>
        </w:tabs>
        <w:ind w:left="1897" w:hanging="708"/>
      </w:pPr>
      <w:rPr/>
    </w:lvl>
    <w:lvl w:ilvl="2">
      <w:start w:val="1"/>
      <w:numFmt w:val="bullet"/>
      <w:lvlText w:val="–"/>
      <w:lvlJc w:val="left"/>
      <w:pPr>
        <w:tabs>
          <w:tab w:val="num" w:pos="2606"/>
        </w:tabs>
        <w:ind w:left="2606" w:hanging="709"/>
      </w:pPr>
      <w:rPr>
        <w:rFonts w:ascii="Times New Roman" w:hAnsi="Times New Roman" w:cs="Times New Roman" w:hint="default"/>
      </w:rPr>
    </w:lvl>
    <w:lvl w:ilvl="3">
      <w:start w:val="1"/>
      <w:numFmt w:val="bullet"/>
      <w:lvlText w:val=""/>
      <w:lvlJc w:val="left"/>
      <w:pPr>
        <w:tabs>
          <w:tab w:val="num" w:pos="3315"/>
        </w:tabs>
        <w:ind w:left="3315" w:hanging="709"/>
      </w:pPr>
      <w:rPr>
        <w:rFonts w:ascii="Symbol" w:hAnsi="Symbol" w:cs="Symbol" w:hint="default"/>
      </w:rPr>
    </w:lvl>
    <w:lvl w:ilvl="4">
      <w:start w:val="1"/>
      <w:numFmt w:val="lowerLetter"/>
      <w:lvlText w:val="(%5)"/>
      <w:lvlJc w:val="left"/>
      <w:pPr>
        <w:tabs>
          <w:tab w:val="num" w:pos="2280"/>
        </w:tabs>
        <w:ind w:left="2280" w:hanging="360"/>
      </w:pPr>
      <w:rPr/>
    </w:lvl>
    <w:lvl w:ilvl="5">
      <w:start w:val="1"/>
      <w:numFmt w:val="lowerRoman"/>
      <w:lvlText w:val="(%6)"/>
      <w:lvlJc w:val="left"/>
      <w:pPr>
        <w:tabs>
          <w:tab w:val="num" w:pos="2640"/>
        </w:tabs>
        <w:ind w:left="2640" w:hanging="360"/>
      </w:pPr>
      <w:rPr/>
    </w:lvl>
    <w:lvl w:ilvl="6">
      <w:start w:val="1"/>
      <w:numFmt w:val="decimal"/>
      <w:lvlText w:val="%7."/>
      <w:lvlJc w:val="left"/>
      <w:pPr>
        <w:tabs>
          <w:tab w:val="num" w:pos="3000"/>
        </w:tabs>
        <w:ind w:left="3000" w:hanging="360"/>
      </w:pPr>
      <w:rPr/>
    </w:lvl>
    <w:lvl w:ilvl="7">
      <w:start w:val="1"/>
      <w:numFmt w:val="lowerLetter"/>
      <w:lvlText w:val="%8."/>
      <w:lvlJc w:val="left"/>
      <w:pPr>
        <w:tabs>
          <w:tab w:val="num" w:pos="3360"/>
        </w:tabs>
        <w:ind w:left="3360" w:hanging="360"/>
      </w:pPr>
      <w:rPr/>
    </w:lvl>
    <w:lvl w:ilvl="8">
      <w:start w:val="1"/>
      <w:numFmt w:val="lowerRoman"/>
      <w:lvlText w:val="%9."/>
      <w:lvlJc w:val="left"/>
      <w:pPr>
        <w:tabs>
          <w:tab w:val="num" w:pos="3720"/>
        </w:tabs>
        <w:ind w:left="3720" w:hanging="36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embedSystemFonts/>
  <w:defaultTabStop w:val="720"/>
  <w:autoHyphenation w:val="true"/>
  <w:hyphenationZone w:val="425"/>
  <w:doNotHyphenateCaps/>
  <w:footnotePr>
    <w:numFmt w:val="decimal"/>
    <w:numRestart w:val="eachPage"/>
    <w:footnote w:id="0"/>
    <w:footnote w:id="1"/>
  </w:footnotePr>
  <w:compat>
    <w:doNotBreakWrappedTables/>
    <w:compatSetting w:name="compatibilityMode" w:uri="http://schemas.microsoft.com/office/word" w:val="12"/>
    <w:compatSetting w:name="useWord2013TrackBottomHyphenation" w:uri="http://schemas.microsoft.com/office/word" w:val="1"/>
  </w:compat>
  <w:docVars>
    <w:docVar w:name="LW_DocType" w:val="NORMAL"/>
    <w:docVar w:name="Stamp" w:val="\\dossiers.dgt.cec.eu.int\dossiers\DEVCO\DEVCO-2011-00112\DEVCO-2011-00112-01-04-EN-REV-00.DOC"/>
  </w:docVars>
  <w:themeFontLang w:val="mk-M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mk-MK" w:eastAsia="mk-MK"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020d9"/>
    <w:pPr>
      <w:widowControl/>
      <w:suppressAutoHyphens w:val="true"/>
      <w:bidi w:val="0"/>
      <w:spacing w:before="120" w:after="120"/>
      <w:jc w:val="left"/>
    </w:pPr>
    <w:rPr>
      <w:rFonts w:ascii="Arial" w:hAnsi="Arial" w:eastAsia="Times New Roman" w:cs="Times New Roman"/>
      <w:color w:val="auto"/>
      <w:kern w:val="0"/>
      <w:sz w:val="20"/>
      <w:szCs w:val="20"/>
      <w:lang w:val="en-GB" w:eastAsia="en-US" w:bidi="ar-SA"/>
    </w:rPr>
  </w:style>
  <w:style w:type="paragraph" w:styleId="Heading1">
    <w:name w:val="heading 1"/>
    <w:basedOn w:val="Normal"/>
    <w:next w:val="Normal"/>
    <w:link w:val="Heading1Char1"/>
    <w:qFormat/>
    <w:rsid w:val="00ef4cfd"/>
    <w:pPr>
      <w:keepNext w:val="true"/>
      <w:numPr>
        <w:ilvl w:val="0"/>
        <w:numId w:val="1"/>
      </w:numPr>
      <w:tabs>
        <w:tab w:val="clear" w:pos="720"/>
        <w:tab w:val="right" w:pos="567" w:leader="none"/>
      </w:tabs>
      <w:spacing w:before="240" w:after="240"/>
      <w:jc w:val="both"/>
      <w:outlineLvl w:val="0"/>
    </w:pPr>
    <w:rPr>
      <w:b/>
      <w:lang w:val="fr-BE"/>
    </w:rPr>
  </w:style>
  <w:style w:type="paragraph" w:styleId="Heading2">
    <w:name w:val="heading 2"/>
    <w:basedOn w:val="Normal"/>
    <w:next w:val="Normal"/>
    <w:link w:val="Heading2Char"/>
    <w:qFormat/>
    <w:rsid w:val="00ef4cfd"/>
    <w:pPr>
      <w:keepNext w:val="true"/>
      <w:outlineLvl w:val="1"/>
    </w:pPr>
    <w:rPr>
      <w:lang w:val="fr-BE"/>
    </w:rPr>
  </w:style>
  <w:style w:type="paragraph" w:styleId="Heading3">
    <w:name w:val="heading 3"/>
    <w:basedOn w:val="Normal"/>
    <w:next w:val="Normal"/>
    <w:link w:val="Heading3Char"/>
    <w:qFormat/>
    <w:rsid w:val="00ef4cfd"/>
    <w:pPr>
      <w:keepNext w:val="true"/>
      <w:outlineLvl w:val="2"/>
    </w:pPr>
    <w:rPr/>
  </w:style>
  <w:style w:type="paragraph" w:styleId="Heading4">
    <w:name w:val="heading 4"/>
    <w:basedOn w:val="Normal"/>
    <w:next w:val="Normal"/>
    <w:link w:val="Heading4Char"/>
    <w:qFormat/>
    <w:rsid w:val="00ef4cfd"/>
    <w:pPr>
      <w:keepNext w:val="true"/>
      <w:numPr>
        <w:ilvl w:val="3"/>
        <w:numId w:val="1"/>
      </w:numPr>
      <w:spacing w:before="240" w:after="60"/>
      <w:outlineLvl w:val="3"/>
    </w:pPr>
    <w:rPr>
      <w:b/>
      <w:sz w:val="24"/>
      <w:lang w:val="sv-SE"/>
    </w:rPr>
  </w:style>
  <w:style w:type="paragraph" w:styleId="Heading5">
    <w:name w:val="heading 5"/>
    <w:basedOn w:val="Normal"/>
    <w:next w:val="Normal"/>
    <w:link w:val="Heading5Char"/>
    <w:qFormat/>
    <w:rsid w:val="00ef4cfd"/>
    <w:pPr>
      <w:numPr>
        <w:ilvl w:val="4"/>
        <w:numId w:val="1"/>
      </w:numPr>
      <w:spacing w:before="240" w:after="60"/>
      <w:outlineLvl w:val="4"/>
    </w:pPr>
    <w:rPr>
      <w:sz w:val="22"/>
      <w:lang w:val="sv-SE"/>
    </w:rPr>
  </w:style>
  <w:style w:type="paragraph" w:styleId="Heading6">
    <w:name w:val="heading 6"/>
    <w:basedOn w:val="Normal"/>
    <w:next w:val="Normal"/>
    <w:link w:val="Heading6Char"/>
    <w:qFormat/>
    <w:rsid w:val="00ef4cfd"/>
    <w:pPr>
      <w:numPr>
        <w:ilvl w:val="5"/>
        <w:numId w:val="1"/>
      </w:numPr>
      <w:tabs>
        <w:tab w:val="clear" w:pos="720"/>
        <w:tab w:val="left" w:pos="1152" w:leader="none"/>
      </w:tabs>
      <w:spacing w:before="240" w:after="60"/>
      <w:ind w:hanging="1152" w:left="1152"/>
      <w:outlineLvl w:val="5"/>
    </w:pPr>
    <w:rPr>
      <w:i/>
      <w:sz w:val="22"/>
      <w:lang w:val="sv-SE"/>
    </w:rPr>
  </w:style>
  <w:style w:type="paragraph" w:styleId="Heading7">
    <w:name w:val="heading 7"/>
    <w:basedOn w:val="Normal"/>
    <w:next w:val="Normal"/>
    <w:link w:val="Heading7Char"/>
    <w:qFormat/>
    <w:rsid w:val="00ef4cfd"/>
    <w:pPr>
      <w:numPr>
        <w:ilvl w:val="6"/>
        <w:numId w:val="1"/>
      </w:numPr>
      <w:spacing w:before="240" w:after="60"/>
      <w:outlineLvl w:val="6"/>
    </w:pPr>
    <w:rPr>
      <w:lang w:val="sv-SE"/>
    </w:rPr>
  </w:style>
  <w:style w:type="paragraph" w:styleId="Heading8">
    <w:name w:val="heading 8"/>
    <w:basedOn w:val="Normal"/>
    <w:next w:val="Normal"/>
    <w:link w:val="Heading8Char"/>
    <w:qFormat/>
    <w:rsid w:val="00ef4cfd"/>
    <w:pPr>
      <w:numPr>
        <w:ilvl w:val="7"/>
        <w:numId w:val="1"/>
      </w:numPr>
      <w:spacing w:before="240" w:after="60"/>
      <w:outlineLvl w:val="7"/>
    </w:pPr>
    <w:rPr>
      <w:i/>
      <w:lang w:val="sv-SE"/>
    </w:rPr>
  </w:style>
  <w:style w:type="paragraph" w:styleId="Heading9">
    <w:name w:val="heading 9"/>
    <w:basedOn w:val="Normal"/>
    <w:next w:val="Normal"/>
    <w:link w:val="Heading9Char"/>
    <w:qFormat/>
    <w:rsid w:val="00ef4cfd"/>
    <w:pPr>
      <w:numPr>
        <w:ilvl w:val="8"/>
        <w:numId w:val="1"/>
      </w:numPr>
      <w:spacing w:before="240" w:after="60"/>
      <w:outlineLvl w:val="8"/>
    </w:pPr>
    <w:rPr>
      <w:b/>
      <w:i/>
      <w:sz w:val="18"/>
      <w:lang w:val="sv-SE"/>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ef4cfd"/>
    <w:rPr/>
  </w:style>
  <w:style w:type="character" w:styleId="Hyperlink">
    <w:name w:val="Hyperlink"/>
    <w:uiPriority w:val="99"/>
    <w:rsid w:val="00ef4cfd"/>
    <w:rPr>
      <w:color w:val="0000FF"/>
      <w:u w:val="single"/>
    </w:rPr>
  </w:style>
  <w:style w:type="character" w:styleId="FootnoteCharactersuser">
    <w:name w:val="Footnote Characters (user)"/>
    <w:qFormat/>
    <w:rsid w:val="00ef4cfd"/>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Strong">
    <w:name w:val="Strong"/>
    <w:uiPriority w:val="22"/>
    <w:qFormat/>
    <w:rsid w:val="00ef4cfd"/>
    <w:rPr>
      <w:b/>
    </w:rPr>
  </w:style>
  <w:style w:type="character" w:styleId="FollowedHyperlink">
    <w:name w:val="FollowedHyperlink"/>
    <w:rsid w:val="00ef4cfd"/>
    <w:rPr>
      <w:color w:val="800080"/>
      <w:u w:val="single"/>
    </w:rPr>
  </w:style>
  <w:style w:type="character" w:styleId="Heading2Char" w:customStyle="1">
    <w:name w:val="Heading 2 Char"/>
    <w:link w:val="Heading2"/>
    <w:semiHidden/>
    <w:qFormat/>
    <w:locked/>
    <w:rsid w:val="0047783a"/>
    <w:rPr>
      <w:rFonts w:ascii="Arial" w:hAnsi="Arial"/>
      <w:lang w:val="fr-BE" w:eastAsia="en-US" w:bidi="ar-SA"/>
    </w:rPr>
  </w:style>
  <w:style w:type="character" w:styleId="Heading1Char1" w:customStyle="1">
    <w:name w:val="Heading 1 Char1"/>
    <w:link w:val="Heading1"/>
    <w:qFormat/>
    <w:rsid w:val="0047783a"/>
    <w:rPr>
      <w:rFonts w:ascii="Arial" w:hAnsi="Arial"/>
      <w:b/>
      <w:lang w:val="fr-BE" w:eastAsia="en-US" w:bidi="ar-SA"/>
    </w:rPr>
  </w:style>
  <w:style w:type="character" w:styleId="Heading1Char" w:customStyle="1">
    <w:name w:val="Heading 1 Char"/>
    <w:qFormat/>
    <w:locked/>
    <w:rsid w:val="0047783a"/>
    <w:rPr>
      <w:b/>
      <w:sz w:val="24"/>
      <w:szCs w:val="24"/>
      <w:lang w:val="en-GB" w:eastAsia="en-US" w:bidi="ar-SA"/>
    </w:rPr>
  </w:style>
  <w:style w:type="character" w:styleId="Heading3Char" w:customStyle="1">
    <w:name w:val="Heading 3 Char"/>
    <w:link w:val="Heading3"/>
    <w:semiHidden/>
    <w:qFormat/>
    <w:locked/>
    <w:rsid w:val="0047783a"/>
    <w:rPr>
      <w:rFonts w:ascii="Arial" w:hAnsi="Arial"/>
      <w:lang w:val="en-GB" w:eastAsia="en-US" w:bidi="ar-SA"/>
    </w:rPr>
  </w:style>
  <w:style w:type="character" w:styleId="Heading4Char" w:customStyle="1">
    <w:name w:val="Heading 4 Char"/>
    <w:link w:val="Heading4"/>
    <w:semiHidden/>
    <w:qFormat/>
    <w:locked/>
    <w:rsid w:val="0047783a"/>
    <w:rPr>
      <w:rFonts w:ascii="Arial" w:hAnsi="Arial"/>
      <w:b/>
      <w:sz w:val="24"/>
      <w:lang w:val="sv-SE" w:eastAsia="en-US" w:bidi="ar-SA"/>
    </w:rPr>
  </w:style>
  <w:style w:type="character" w:styleId="Heading5Char" w:customStyle="1">
    <w:name w:val="Heading 5 Char"/>
    <w:link w:val="Heading5"/>
    <w:semiHidden/>
    <w:qFormat/>
    <w:locked/>
    <w:rsid w:val="0047783a"/>
    <w:rPr>
      <w:rFonts w:ascii="Arial" w:hAnsi="Arial"/>
      <w:sz w:val="22"/>
      <w:lang w:val="sv-SE" w:eastAsia="en-US" w:bidi="ar-SA"/>
    </w:rPr>
  </w:style>
  <w:style w:type="character" w:styleId="Heading6Char" w:customStyle="1">
    <w:name w:val="Heading 6 Char"/>
    <w:link w:val="Heading6"/>
    <w:semiHidden/>
    <w:qFormat/>
    <w:locked/>
    <w:rsid w:val="0047783a"/>
    <w:rPr>
      <w:rFonts w:ascii="Arial" w:hAnsi="Arial"/>
      <w:i/>
      <w:sz w:val="22"/>
      <w:lang w:val="sv-SE" w:eastAsia="en-US" w:bidi="ar-SA"/>
    </w:rPr>
  </w:style>
  <w:style w:type="character" w:styleId="Heading7Char" w:customStyle="1">
    <w:name w:val="Heading 7 Char"/>
    <w:link w:val="Heading7"/>
    <w:semiHidden/>
    <w:qFormat/>
    <w:locked/>
    <w:rsid w:val="0047783a"/>
    <w:rPr>
      <w:rFonts w:ascii="Arial" w:hAnsi="Arial"/>
      <w:lang w:val="sv-SE" w:eastAsia="en-US" w:bidi="ar-SA"/>
    </w:rPr>
  </w:style>
  <w:style w:type="character" w:styleId="Heading8Char" w:customStyle="1">
    <w:name w:val="Heading 8 Char"/>
    <w:link w:val="Heading8"/>
    <w:semiHidden/>
    <w:qFormat/>
    <w:locked/>
    <w:rsid w:val="0047783a"/>
    <w:rPr>
      <w:rFonts w:ascii="Arial" w:hAnsi="Arial"/>
      <w:i/>
      <w:lang w:val="sv-SE" w:eastAsia="en-US" w:bidi="ar-SA"/>
    </w:rPr>
  </w:style>
  <w:style w:type="character" w:styleId="Heading9Char" w:customStyle="1">
    <w:name w:val="Heading 9 Char"/>
    <w:link w:val="Heading9"/>
    <w:semiHidden/>
    <w:qFormat/>
    <w:locked/>
    <w:rsid w:val="0047783a"/>
    <w:rPr>
      <w:rFonts w:ascii="Arial" w:hAnsi="Arial"/>
      <w:b/>
      <w:i/>
      <w:sz w:val="18"/>
      <w:lang w:val="sv-SE" w:eastAsia="en-US" w:bidi="ar-SA"/>
    </w:rPr>
  </w:style>
  <w:style w:type="character" w:styleId="TitleChar" w:customStyle="1">
    <w:name w:val="Title Char"/>
    <w:link w:val="Title"/>
    <w:qFormat/>
    <w:locked/>
    <w:rsid w:val="0047783a"/>
    <w:rPr>
      <w:rFonts w:ascii="Arial" w:hAnsi="Arial"/>
      <w:b/>
      <w:sz w:val="28"/>
      <w:lang w:val="fr-BE" w:eastAsia="en-US" w:bidi="ar-SA"/>
    </w:rPr>
  </w:style>
  <w:style w:type="character" w:styleId="SubtitleChar" w:customStyle="1">
    <w:name w:val="Subtitle Char"/>
    <w:link w:val="Subtitle"/>
    <w:qFormat/>
    <w:locked/>
    <w:rsid w:val="0047783a"/>
    <w:rPr>
      <w:rFonts w:ascii="Arial" w:hAnsi="Arial"/>
      <w:b/>
      <w:sz w:val="28"/>
      <w:lang w:val="fr-BE" w:eastAsia="en-US" w:bidi="ar-SA"/>
    </w:rPr>
  </w:style>
  <w:style w:type="character" w:styleId="BodyTextIndentChar" w:customStyle="1">
    <w:name w:val="Body Text Indent Char"/>
    <w:semiHidden/>
    <w:qFormat/>
    <w:locked/>
    <w:rsid w:val="0047783a"/>
    <w:rPr>
      <w:sz w:val="24"/>
      <w:lang w:val="sv-SE" w:eastAsia="en-US" w:bidi="ar-SA"/>
    </w:rPr>
  </w:style>
  <w:style w:type="character" w:styleId="BodyTextChar" w:customStyle="1">
    <w:name w:val="Body Text Char"/>
    <w:semiHidden/>
    <w:qFormat/>
    <w:locked/>
    <w:rsid w:val="0047783a"/>
    <w:rPr>
      <w:rFonts w:ascii="Arial" w:hAnsi="Arial"/>
      <w:lang w:val="sv-SE" w:eastAsia="en-US" w:bidi="ar-SA"/>
    </w:rPr>
  </w:style>
  <w:style w:type="character" w:styleId="BodyTextIndent2Char" w:customStyle="1">
    <w:name w:val="Body Text Indent 2 Char"/>
    <w:link w:val="BodyTextIndent2"/>
    <w:semiHidden/>
    <w:qFormat/>
    <w:locked/>
    <w:rsid w:val="0047783a"/>
    <w:rPr>
      <w:rFonts w:ascii="Arial" w:hAnsi="Arial"/>
      <w:sz w:val="24"/>
      <w:u w:val="single"/>
      <w:lang w:val="sv-SE" w:eastAsia="en-US" w:bidi="ar-SA"/>
    </w:rPr>
  </w:style>
  <w:style w:type="character" w:styleId="BodyTextIndent3Char" w:customStyle="1">
    <w:name w:val="Body Text Indent 3 Char"/>
    <w:link w:val="BodyTextIndent3"/>
    <w:semiHidden/>
    <w:qFormat/>
    <w:locked/>
    <w:rsid w:val="0047783a"/>
    <w:rPr>
      <w:rFonts w:ascii="Arial" w:hAnsi="Arial"/>
      <w:sz w:val="24"/>
      <w:lang w:val="sv-SE" w:eastAsia="en-US" w:bidi="ar-SA"/>
    </w:rPr>
  </w:style>
  <w:style w:type="character" w:styleId="HeaderChar" w:customStyle="1">
    <w:name w:val="Header Char"/>
    <w:link w:val="Header"/>
    <w:semiHidden/>
    <w:qFormat/>
    <w:locked/>
    <w:rsid w:val="0047783a"/>
    <w:rPr>
      <w:rFonts w:ascii="Arial" w:hAnsi="Arial"/>
      <w:lang w:val="sv-SE" w:eastAsia="en-US" w:bidi="ar-SA"/>
    </w:rPr>
  </w:style>
  <w:style w:type="character" w:styleId="FooterChar" w:customStyle="1">
    <w:name w:val="Footer Char"/>
    <w:link w:val="Footer"/>
    <w:uiPriority w:val="99"/>
    <w:qFormat/>
    <w:locked/>
    <w:rsid w:val="0047783a"/>
    <w:rPr>
      <w:rFonts w:ascii="Arial" w:hAnsi="Arial"/>
      <w:lang w:val="sv-SE" w:eastAsia="en-US" w:bidi="ar-SA"/>
    </w:rPr>
  </w:style>
  <w:style w:type="character" w:styleId="BodyText3Char" w:customStyle="1">
    <w:name w:val="Body Text 3 Char"/>
    <w:link w:val="BodyText3"/>
    <w:semiHidden/>
    <w:qFormat/>
    <w:locked/>
    <w:rsid w:val="0047783a"/>
    <w:rPr>
      <w:rFonts w:ascii="Arial" w:hAnsi="Arial"/>
      <w:b/>
      <w:sz w:val="24"/>
      <w:lang w:val="en-GB" w:eastAsia="en-US" w:bidi="ar-SA"/>
    </w:rPr>
  </w:style>
  <w:style w:type="character" w:styleId="FootnoteTextChar" w:customStyle="1">
    <w:name w:val="Footnote Text Char"/>
    <w:uiPriority w:val="99"/>
    <w:qFormat/>
    <w:locked/>
    <w:rsid w:val="0047783a"/>
    <w:rPr>
      <w:rFonts w:ascii="Arial" w:hAnsi="Arial"/>
      <w:lang w:val="fr-FR" w:eastAsia="en-US" w:bidi="ar-SA"/>
    </w:rPr>
  </w:style>
  <w:style w:type="character" w:styleId="DocumentMapChar" w:customStyle="1">
    <w:name w:val="Document Map Char"/>
    <w:link w:val="DocumentMap"/>
    <w:semiHidden/>
    <w:qFormat/>
    <w:locked/>
    <w:rsid w:val="0047783a"/>
    <w:rPr>
      <w:rFonts w:ascii="Arial" w:hAnsi="Arial"/>
      <w:sz w:val="24"/>
      <w:lang w:val="fr-FR" w:eastAsia="en-US" w:bidi="ar-SA"/>
    </w:rPr>
  </w:style>
  <w:style w:type="character" w:styleId="BodyText2Char" w:customStyle="1">
    <w:name w:val="Body Text 2 Char"/>
    <w:link w:val="BodyText2"/>
    <w:semiHidden/>
    <w:qFormat/>
    <w:locked/>
    <w:rsid w:val="0047783a"/>
    <w:rPr>
      <w:sz w:val="24"/>
      <w:lang w:val="sv-SE" w:eastAsia="en-GB" w:bidi="ar-SA"/>
    </w:rPr>
  </w:style>
  <w:style w:type="character" w:styleId="EndnoteCharactersuser">
    <w:name w:val="Endnote Characters (user)"/>
    <w:semiHidden/>
    <w:qFormat/>
    <w:rsid w:val="0047783a"/>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Style11pt" w:customStyle="1">
    <w:name w:val="Style 11 pt"/>
    <w:qFormat/>
    <w:rsid w:val="0047783a"/>
    <w:rPr>
      <w:sz w:val="22"/>
    </w:rPr>
  </w:style>
  <w:style w:type="character" w:styleId="CommentReference">
    <w:name w:val="annotation reference"/>
    <w:uiPriority w:val="99"/>
    <w:qFormat/>
    <w:rsid w:val="00ee23b1"/>
    <w:rPr>
      <w:sz w:val="16"/>
      <w:szCs w:val="16"/>
    </w:rPr>
  </w:style>
  <w:style w:type="character" w:styleId="CommentTextChar" w:customStyle="1">
    <w:name w:val="Comment Text Char"/>
    <w:link w:val="CommentText"/>
    <w:uiPriority w:val="99"/>
    <w:semiHidden/>
    <w:qFormat/>
    <w:rsid w:val="00240b1f"/>
    <w:rPr>
      <w:rFonts w:ascii="Arial" w:hAnsi="Arial"/>
      <w:lang w:eastAsia="en-US"/>
    </w:rPr>
  </w:style>
  <w:style w:type="character" w:styleId="UnresolvedMention1" w:customStyle="1">
    <w:name w:val="Unresolved Mention1"/>
    <w:uiPriority w:val="99"/>
    <w:semiHidden/>
    <w:unhideWhenUsed/>
    <w:qFormat/>
    <w:rsid w:val="003f3783"/>
    <w:rPr>
      <w:color w:val="605E5C"/>
      <w:shd w:fill="E1DFDD" w:val="clear"/>
    </w:rPr>
  </w:style>
  <w:style w:type="character" w:styleId="UnresolvedMention2" w:customStyle="1">
    <w:name w:val="Unresolved Mention2"/>
    <w:uiPriority w:val="99"/>
    <w:semiHidden/>
    <w:unhideWhenUsed/>
    <w:qFormat/>
    <w:rsid w:val="006a601d"/>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BodyTextChar"/>
    <w:rsid w:val="00ef4cfd"/>
    <w:pPr/>
    <w:rPr>
      <w:lang w:val="sv-SE"/>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link w:val="TitleChar"/>
    <w:qFormat/>
    <w:rsid w:val="00ef4cfd"/>
    <w:pPr>
      <w:jc w:val="center"/>
    </w:pPr>
    <w:rPr>
      <w:b/>
      <w:sz w:val="28"/>
      <w:lang w:val="fr-BE"/>
    </w:rPr>
  </w:style>
  <w:style w:type="paragraph" w:styleId="Subtitle">
    <w:name w:val="Subtitle"/>
    <w:basedOn w:val="Normal"/>
    <w:link w:val="SubtitleChar"/>
    <w:qFormat/>
    <w:rsid w:val="00ef4cfd"/>
    <w:pPr>
      <w:jc w:val="center"/>
    </w:pPr>
    <w:rPr>
      <w:b/>
      <w:sz w:val="28"/>
      <w:lang w:val="fr-BE"/>
    </w:rPr>
  </w:style>
  <w:style w:type="paragraph" w:styleId="BodyTextIndent">
    <w:name w:val="Body Text Indent"/>
    <w:basedOn w:val="Normal"/>
    <w:link w:val="BodyTextIndentChar"/>
    <w:rsid w:val="00ef4cfd"/>
    <w:pPr>
      <w:tabs>
        <w:tab w:val="clear" w:pos="720"/>
        <w:tab w:val="left" w:pos="567" w:leader="none"/>
      </w:tabs>
      <w:spacing w:before="0" w:after="0"/>
      <w:jc w:val="both"/>
    </w:pPr>
    <w:rPr>
      <w:rFonts w:ascii="Times New Roman" w:hAnsi="Times New Roman"/>
      <w:sz w:val="24"/>
      <w:lang w:val="sv-SE"/>
    </w:rPr>
  </w:style>
  <w:style w:type="paragraph" w:styleId="BodyTextIndent2">
    <w:name w:val="Body Text Indent 2"/>
    <w:basedOn w:val="Normal"/>
    <w:link w:val="BodyTextIndent2Char"/>
    <w:qFormat/>
    <w:rsid w:val="00ef4cfd"/>
    <w:pPr>
      <w:tabs>
        <w:tab w:val="clear" w:pos="720"/>
        <w:tab w:val="left" w:pos="567" w:leader="none"/>
        <w:tab w:val="left" w:pos="2160" w:leader="none"/>
      </w:tabs>
      <w:spacing w:before="120" w:after="240"/>
      <w:ind w:hanging="567" w:left="567"/>
      <w:jc w:val="both"/>
    </w:pPr>
    <w:rPr>
      <w:sz w:val="24"/>
      <w:u w:val="single"/>
      <w:lang w:val="sv-SE"/>
    </w:rPr>
  </w:style>
  <w:style w:type="paragraph" w:styleId="BodyTextIndent3">
    <w:name w:val="Body Text Indent 3"/>
    <w:basedOn w:val="Normal"/>
    <w:link w:val="BodyTextIndent3Char"/>
    <w:qFormat/>
    <w:rsid w:val="00ef4cfd"/>
    <w:pPr>
      <w:tabs>
        <w:tab w:val="clear" w:pos="720"/>
        <w:tab w:val="left" w:pos="1276" w:leader="none"/>
      </w:tabs>
      <w:ind w:hanging="425" w:left="1276"/>
      <w:jc w:val="both"/>
    </w:pPr>
    <w:rPr>
      <w:sz w:val="24"/>
      <w:lang w:val="sv-SE"/>
    </w:rPr>
  </w:style>
  <w:style w:type="paragraph" w:styleId="Text3" w:customStyle="1">
    <w:name w:val="Text 3"/>
    <w:basedOn w:val="Normal"/>
    <w:qFormat/>
    <w:rsid w:val="00ef4cfd"/>
    <w:pPr>
      <w:tabs>
        <w:tab w:val="clear" w:pos="720"/>
        <w:tab w:val="left" w:pos="2302" w:leader="none"/>
      </w:tabs>
      <w:spacing w:before="120" w:after="240"/>
      <w:ind w:left="1202"/>
      <w:jc w:val="both"/>
    </w:pPr>
    <w:rPr>
      <w:sz w:val="24"/>
    </w:rPr>
  </w:style>
  <w:style w:type="paragraph" w:styleId="HeaderandFooter">
    <w:name w:val="Header and Footer"/>
    <w:basedOn w:val="Normal"/>
    <w:qFormat/>
    <w:pPr/>
    <w:rPr/>
  </w:style>
  <w:style w:type="paragraph" w:styleId="Header">
    <w:name w:val="header"/>
    <w:basedOn w:val="Normal"/>
    <w:link w:val="HeaderChar"/>
    <w:rsid w:val="00ef4cfd"/>
    <w:pPr>
      <w:tabs>
        <w:tab w:val="clear" w:pos="720"/>
        <w:tab w:val="center" w:pos="4320" w:leader="none"/>
        <w:tab w:val="right" w:pos="8640" w:leader="none"/>
      </w:tabs>
    </w:pPr>
    <w:rPr>
      <w:lang w:val="sv-SE"/>
    </w:rPr>
  </w:style>
  <w:style w:type="paragraph" w:styleId="Footer">
    <w:name w:val="footer"/>
    <w:basedOn w:val="Normal"/>
    <w:link w:val="FooterChar"/>
    <w:uiPriority w:val="99"/>
    <w:rsid w:val="00ef4cfd"/>
    <w:pPr>
      <w:tabs>
        <w:tab w:val="clear" w:pos="720"/>
        <w:tab w:val="center" w:pos="4320" w:leader="none"/>
        <w:tab w:val="right" w:pos="8640" w:leader="none"/>
      </w:tabs>
    </w:pPr>
    <w:rPr>
      <w:lang w:val="sv-SE"/>
    </w:rPr>
  </w:style>
  <w:style w:type="paragraph" w:styleId="BodyText3">
    <w:name w:val="Body Text 3"/>
    <w:basedOn w:val="Normal"/>
    <w:link w:val="BodyText3Char"/>
    <w:qFormat/>
    <w:rsid w:val="00ef4cfd"/>
    <w:pPr>
      <w:tabs>
        <w:tab w:val="clear" w:pos="720"/>
        <w:tab w:val="left" w:pos="0" w:leader="none"/>
        <w:tab w:val="left" w:pos="567" w:leader="none"/>
        <w:tab w:val="left" w:pos="1133" w:leader="none"/>
        <w:tab w:val="left" w:pos="1700" w:leader="none"/>
        <w:tab w:val="left" w:pos="2266" w:leader="none"/>
        <w:tab w:val="left" w:pos="2832" w:leader="none"/>
        <w:tab w:val="left" w:pos="3399" w:leader="none"/>
        <w:tab w:val="left" w:pos="3965" w:leader="none"/>
        <w:tab w:val="left" w:pos="4532" w:leader="none"/>
        <w:tab w:val="left" w:pos="5098" w:leader="none"/>
        <w:tab w:val="left" w:pos="5664" w:leader="none"/>
        <w:tab w:val="left" w:pos="6231" w:leader="none"/>
        <w:tab w:val="left" w:pos="6797" w:leader="none"/>
        <w:tab w:val="left" w:pos="7364" w:leader="none"/>
        <w:tab w:val="left" w:pos="7930" w:leader="none"/>
        <w:tab w:val="left" w:pos="8496" w:leader="none"/>
      </w:tabs>
      <w:suppressAutoHyphens w:val="true"/>
      <w:spacing w:lineRule="exact" w:line="240"/>
      <w:jc w:val="both"/>
    </w:pPr>
    <w:rPr>
      <w:b/>
      <w:sz w:val="24"/>
    </w:rPr>
  </w:style>
  <w:style w:type="paragraph" w:styleId="FootnoteText">
    <w:name w:val="footnote text"/>
    <w:basedOn w:val="Normal"/>
    <w:autoRedefine/>
    <w:qFormat/>
    <w:rsid w:val="009d0375"/>
    <w:pPr>
      <w:spacing w:before="0" w:after="120"/>
      <w:ind w:hanging="142" w:left="142"/>
      <w:jc w:val="both"/>
    </w:pPr>
    <w:rPr>
      <w:rFonts w:ascii="Times New Roman" w:hAnsi="Times New Roman"/>
      <w:lang w:val="fr-FR"/>
    </w:rPr>
  </w:style>
  <w:style w:type="paragraph" w:styleId="DocumentMap">
    <w:name w:val="Document Map"/>
    <w:basedOn w:val="Normal"/>
    <w:link w:val="DocumentMapChar"/>
    <w:semiHidden/>
    <w:qFormat/>
    <w:rsid w:val="00ef4cfd"/>
    <w:pPr>
      <w:shd w:val="clear" w:color="auto" w:fill="000080"/>
    </w:pPr>
    <w:rPr>
      <w:sz w:val="24"/>
      <w:lang w:val="fr-FR"/>
    </w:rPr>
  </w:style>
  <w:style w:type="paragraph" w:styleId="bulletsub" w:customStyle="1">
    <w:name w:val="bullet_sub"/>
    <w:basedOn w:val="Normal"/>
    <w:qFormat/>
    <w:rsid w:val="00ef4cfd"/>
    <w:pPr>
      <w:tabs>
        <w:tab w:val="left" w:pos="-1440" w:leader="none"/>
        <w:tab w:val="left" w:pos="-720" w:leader="none"/>
        <w:tab w:val="left" w:pos="567" w:leader="none"/>
        <w:tab w:val="left" w:pos="720" w:leader="none"/>
        <w:tab w:val="left" w:pos="1080" w:leader="none"/>
        <w:tab w:val="left" w:pos="1440" w:leader="none"/>
        <w:tab w:val="left" w:pos="1800" w:leader="none"/>
        <w:tab w:val="left" w:pos="2520" w:leader="none"/>
        <w:tab w:val="left" w:pos="288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120"/>
      <w:ind w:hanging="360" w:left="2912"/>
      <w:jc w:val="both"/>
    </w:pPr>
    <w:rPr>
      <w:sz w:val="22"/>
    </w:rPr>
  </w:style>
  <w:style w:type="paragraph" w:styleId="SubTitle1" w:customStyle="1">
    <w:name w:val="SubTitle 1"/>
    <w:basedOn w:val="Normal"/>
    <w:next w:val="SubTitle2"/>
    <w:qFormat/>
    <w:rsid w:val="00ef4cfd"/>
    <w:pPr>
      <w:spacing w:before="120" w:after="240"/>
      <w:jc w:val="center"/>
    </w:pPr>
    <w:rPr>
      <w:b/>
      <w:sz w:val="40"/>
    </w:rPr>
  </w:style>
  <w:style w:type="paragraph" w:styleId="SubTitle2" w:customStyle="1">
    <w:name w:val="SubTitle 2"/>
    <w:basedOn w:val="Normal"/>
    <w:qFormat/>
    <w:rsid w:val="00ef4cfd"/>
    <w:pPr>
      <w:spacing w:before="120" w:after="240"/>
      <w:jc w:val="center"/>
    </w:pPr>
    <w:rPr>
      <w:b/>
      <w:sz w:val="32"/>
    </w:rPr>
  </w:style>
  <w:style w:type="paragraph" w:styleId="Annexetitle" w:customStyle="1">
    <w:name w:val="Annexe_title"/>
    <w:basedOn w:val="Heading1"/>
    <w:next w:val="Normal"/>
    <w:autoRedefine/>
    <w:qFormat/>
    <w:rsid w:val="00ef4cfd"/>
    <w:pPr>
      <w:keepNext w:val="false"/>
      <w:pageBreakBefore/>
      <w:numPr>
        <w:ilvl w:val="0"/>
        <w:numId w:val="0"/>
      </w:numPr>
      <w:tabs>
        <w:tab w:val="left" w:pos="567" w:leader="none"/>
        <w:tab w:val="left" w:pos="2552" w:leader="none"/>
        <w:tab w:val="left" w:pos="7938" w:leader="none"/>
        <w:tab w:val="left" w:pos="9072" w:leader="none"/>
      </w:tabs>
      <w:spacing w:before="0" w:after="0"/>
      <w:jc w:val="left"/>
      <w:outlineLvl w:val="9"/>
    </w:pPr>
    <w:rPr>
      <w:caps/>
      <w:sz w:val="28"/>
      <w:lang w:val="en-GB"/>
    </w:rPr>
  </w:style>
  <w:style w:type="paragraph" w:styleId="Style11" w:customStyle="1">
    <w:name w:val="Style1"/>
    <w:basedOn w:val="Normal"/>
    <w:qFormat/>
    <w:rsid w:val="00ef4cfd"/>
    <w:pPr>
      <w:keepNext w:val="true"/>
      <w:widowControl w:val="false"/>
      <w:tabs>
        <w:tab w:val="clear" w:pos="720"/>
        <w:tab w:val="left" w:pos="992" w:leader="none"/>
      </w:tabs>
      <w:ind w:hanging="992" w:left="992"/>
    </w:pPr>
    <w:rPr>
      <w:b/>
      <w:sz w:val="18"/>
      <w:lang w:val="fr-FR"/>
    </w:rPr>
  </w:style>
  <w:style w:type="paragraph" w:styleId="titlefront" w:customStyle="1">
    <w:name w:val="title_front"/>
    <w:basedOn w:val="Normal"/>
    <w:qFormat/>
    <w:rsid w:val="00ef4cfd"/>
    <w:pPr>
      <w:spacing w:before="240" w:after="120"/>
      <w:ind w:left="1701"/>
      <w:jc w:val="right"/>
    </w:pPr>
    <w:rPr>
      <w:rFonts w:ascii="Optima" w:hAnsi="Optima"/>
      <w:b/>
      <w:sz w:val="28"/>
    </w:rPr>
  </w:style>
  <w:style w:type="paragraph" w:styleId="TOC1">
    <w:name w:val="toc 1"/>
    <w:basedOn w:val="Normal"/>
    <w:next w:val="Normal"/>
    <w:autoRedefine/>
    <w:semiHidden/>
    <w:rsid w:val="00ef4cfd"/>
    <w:pPr>
      <w:tabs>
        <w:tab w:val="clear" w:pos="720"/>
        <w:tab w:val="left" w:pos="567" w:leader="none"/>
        <w:tab w:val="left" w:pos="600" w:leader="none"/>
        <w:tab w:val="left" w:pos="851" w:leader="none"/>
        <w:tab w:val="left" w:pos="1200" w:leader="none"/>
        <w:tab w:val="left" w:pos="1418" w:leader="none"/>
        <w:tab w:val="left" w:pos="1985" w:leader="none"/>
        <w:tab w:val="right" w:pos="8777" w:leader="dot"/>
      </w:tabs>
      <w:spacing w:before="60" w:after="60"/>
      <w:ind w:hanging="567" w:left="567"/>
    </w:pPr>
    <w:rPr>
      <w:b/>
      <w:i/>
      <w:caps/>
    </w:rPr>
  </w:style>
  <w:style w:type="paragraph" w:styleId="TOC2">
    <w:name w:val="toc 2"/>
    <w:basedOn w:val="Normal"/>
    <w:next w:val="Normal"/>
    <w:autoRedefine/>
    <w:semiHidden/>
    <w:rsid w:val="00ef4cfd"/>
    <w:pPr>
      <w:spacing w:before="0" w:after="0"/>
      <w:ind w:left="200"/>
    </w:pPr>
    <w:rPr>
      <w:rFonts w:ascii="Times New Roman" w:hAnsi="Times New Roman"/>
      <w:smallCaps/>
    </w:rPr>
  </w:style>
  <w:style w:type="paragraph" w:styleId="Blockquote" w:customStyle="1">
    <w:name w:val="Blockquote"/>
    <w:basedOn w:val="Normal"/>
    <w:qFormat/>
    <w:rsid w:val="00ef4cfd"/>
    <w:pPr>
      <w:widowControl w:val="false"/>
      <w:spacing w:before="100" w:after="100"/>
      <w:ind w:left="360" w:right="360"/>
    </w:pPr>
    <w:rPr>
      <w:sz w:val="24"/>
      <w:lang w:val="en-US"/>
    </w:rPr>
  </w:style>
  <w:style w:type="paragraph" w:styleId="TOC3">
    <w:name w:val="toc 3"/>
    <w:basedOn w:val="Normal"/>
    <w:next w:val="Normal"/>
    <w:autoRedefine/>
    <w:semiHidden/>
    <w:rsid w:val="00ef4cfd"/>
    <w:pPr>
      <w:spacing w:before="0" w:after="0"/>
      <w:ind w:left="400"/>
    </w:pPr>
    <w:rPr>
      <w:rFonts w:ascii="Times New Roman" w:hAnsi="Times New Roman"/>
      <w:i/>
    </w:rPr>
  </w:style>
  <w:style w:type="paragraph" w:styleId="TOC4">
    <w:name w:val="toc 4"/>
    <w:basedOn w:val="Normal"/>
    <w:next w:val="Normal"/>
    <w:autoRedefine/>
    <w:semiHidden/>
    <w:rsid w:val="00ef4cfd"/>
    <w:pPr>
      <w:spacing w:before="0" w:after="0"/>
      <w:ind w:left="600"/>
    </w:pPr>
    <w:rPr>
      <w:rFonts w:ascii="Times New Roman" w:hAnsi="Times New Roman"/>
      <w:sz w:val="18"/>
    </w:rPr>
  </w:style>
  <w:style w:type="paragraph" w:styleId="TOC5">
    <w:name w:val="toc 5"/>
    <w:basedOn w:val="Normal"/>
    <w:next w:val="Normal"/>
    <w:autoRedefine/>
    <w:semiHidden/>
    <w:rsid w:val="00ef4cfd"/>
    <w:pPr>
      <w:spacing w:before="0" w:after="0"/>
      <w:ind w:left="800"/>
    </w:pPr>
    <w:rPr>
      <w:rFonts w:ascii="Times New Roman" w:hAnsi="Times New Roman"/>
      <w:sz w:val="18"/>
    </w:rPr>
  </w:style>
  <w:style w:type="paragraph" w:styleId="TOC6">
    <w:name w:val="toc 6"/>
    <w:basedOn w:val="Normal"/>
    <w:next w:val="Normal"/>
    <w:autoRedefine/>
    <w:semiHidden/>
    <w:rsid w:val="00ef4cfd"/>
    <w:pPr>
      <w:spacing w:before="0" w:after="0"/>
      <w:ind w:left="1000"/>
    </w:pPr>
    <w:rPr>
      <w:rFonts w:ascii="Times New Roman" w:hAnsi="Times New Roman"/>
      <w:sz w:val="18"/>
    </w:rPr>
  </w:style>
  <w:style w:type="paragraph" w:styleId="TOC7">
    <w:name w:val="toc 7"/>
    <w:basedOn w:val="Normal"/>
    <w:next w:val="Normal"/>
    <w:autoRedefine/>
    <w:semiHidden/>
    <w:rsid w:val="00ef4cfd"/>
    <w:pPr>
      <w:spacing w:before="0" w:after="0"/>
      <w:ind w:left="1200"/>
    </w:pPr>
    <w:rPr>
      <w:rFonts w:ascii="Times New Roman" w:hAnsi="Times New Roman"/>
      <w:sz w:val="18"/>
    </w:rPr>
  </w:style>
  <w:style w:type="paragraph" w:styleId="TOC8">
    <w:name w:val="toc 8"/>
    <w:basedOn w:val="Normal"/>
    <w:next w:val="Normal"/>
    <w:autoRedefine/>
    <w:semiHidden/>
    <w:rsid w:val="00ef4cfd"/>
    <w:pPr>
      <w:spacing w:before="0" w:after="0"/>
      <w:ind w:left="1400"/>
    </w:pPr>
    <w:rPr>
      <w:rFonts w:ascii="Times New Roman" w:hAnsi="Times New Roman"/>
      <w:sz w:val="18"/>
    </w:rPr>
  </w:style>
  <w:style w:type="paragraph" w:styleId="TOC9">
    <w:name w:val="toc 9"/>
    <w:basedOn w:val="Normal"/>
    <w:next w:val="Normal"/>
    <w:autoRedefine/>
    <w:semiHidden/>
    <w:rsid w:val="00ef4cfd"/>
    <w:pPr>
      <w:spacing w:before="0" w:after="0"/>
      <w:ind w:left="1600"/>
    </w:pPr>
    <w:rPr>
      <w:rFonts w:ascii="Times New Roman" w:hAnsi="Times New Roman"/>
      <w:sz w:val="18"/>
    </w:rPr>
  </w:style>
  <w:style w:type="paragraph" w:styleId="Style21" w:customStyle="1">
    <w:name w:val="Style2"/>
    <w:basedOn w:val="Style11"/>
    <w:qFormat/>
    <w:rsid w:val="00ef4cfd"/>
    <w:pPr>
      <w:tabs>
        <w:tab w:val="clear" w:pos="992"/>
        <w:tab w:val="left" w:pos="2091" w:leader="none"/>
      </w:tabs>
      <w:ind w:left="2977"/>
      <w:jc w:val="both"/>
    </w:pPr>
    <w:rPr/>
  </w:style>
  <w:style w:type="paragraph" w:styleId="text" w:customStyle="1">
    <w:name w:val="text"/>
    <w:qFormat/>
    <w:rsid w:val="00ef4cfd"/>
    <w:pPr>
      <w:widowControl w:val="false"/>
      <w:suppressAutoHyphens w:val="true"/>
      <w:bidi w:val="0"/>
      <w:spacing w:lineRule="exact" w:line="240" w:before="240" w:after="0"/>
      <w:jc w:val="both"/>
    </w:pPr>
    <w:rPr>
      <w:rFonts w:ascii="Arial" w:hAnsi="Arial" w:eastAsia="Times New Roman" w:cs="Times New Roman"/>
      <w:color w:val="auto"/>
      <w:kern w:val="0"/>
      <w:sz w:val="24"/>
      <w:szCs w:val="20"/>
      <w:lang w:val="cs-CZ" w:eastAsia="en-US" w:bidi="ar-SA"/>
    </w:rPr>
  </w:style>
  <w:style w:type="paragraph" w:styleId="Section" w:customStyle="1">
    <w:name w:val="Section"/>
    <w:basedOn w:val="Normal"/>
    <w:qFormat/>
    <w:rsid w:val="00ef4cfd"/>
    <w:pPr>
      <w:widowControl w:val="false"/>
      <w:spacing w:lineRule="exact" w:line="360" w:before="0" w:after="0"/>
      <w:jc w:val="center"/>
    </w:pPr>
    <w:rPr>
      <w:b/>
      <w:sz w:val="32"/>
      <w:lang w:val="cs-CZ"/>
    </w:rPr>
  </w:style>
  <w:style w:type="paragraph" w:styleId="ManualNumPar1" w:customStyle="1">
    <w:name w:val="Manual NumPar 1"/>
    <w:basedOn w:val="Normal"/>
    <w:next w:val="Normal"/>
    <w:qFormat/>
    <w:rsid w:val="00ef4cfd"/>
    <w:pPr>
      <w:ind w:hanging="851" w:left="851"/>
      <w:jc w:val="both"/>
    </w:pPr>
    <w:rPr>
      <w:rFonts w:ascii="Times New Roman" w:hAnsi="Times New Roman"/>
      <w:sz w:val="24"/>
      <w:lang w:val="fr-FR"/>
    </w:rPr>
  </w:style>
  <w:style w:type="paragraph" w:styleId="BodyText2">
    <w:name w:val="Body Text 2"/>
    <w:basedOn w:val="Normal"/>
    <w:link w:val="BodyText2Char"/>
    <w:qFormat/>
    <w:rsid w:val="00ae7d13"/>
    <w:pPr>
      <w:tabs>
        <w:tab w:val="clear" w:pos="720"/>
        <w:tab w:val="left" w:pos="567" w:leader="none"/>
      </w:tabs>
      <w:spacing w:before="0" w:after="0"/>
      <w:jc w:val="both"/>
    </w:pPr>
    <w:rPr>
      <w:rFonts w:ascii="Times New Roman" w:hAnsi="Times New Roman"/>
      <w:sz w:val="24"/>
      <w:lang w:val="sv-SE" w:eastAsia="en-GB"/>
    </w:rPr>
  </w:style>
  <w:style w:type="paragraph" w:styleId="oddl-nadpis" w:customStyle="1">
    <w:name w:val="oddíl-nadpis"/>
    <w:basedOn w:val="Normal"/>
    <w:qFormat/>
    <w:rsid w:val="000417e2"/>
    <w:pPr>
      <w:keepNext w:val="true"/>
      <w:widowControl w:val="false"/>
      <w:tabs>
        <w:tab w:val="clear" w:pos="720"/>
        <w:tab w:val="left" w:pos="567" w:leader="none"/>
      </w:tabs>
      <w:spacing w:lineRule="exact" w:line="240" w:before="240" w:after="0"/>
    </w:pPr>
    <w:rPr>
      <w:b/>
      <w:sz w:val="24"/>
      <w:lang w:val="cs-CZ"/>
    </w:rPr>
  </w:style>
  <w:style w:type="paragraph" w:styleId="BalloonText">
    <w:name w:val="Balloon Text"/>
    <w:basedOn w:val="Normal"/>
    <w:semiHidden/>
    <w:qFormat/>
    <w:rsid w:val="00de13b8"/>
    <w:pPr/>
    <w:rPr>
      <w:rFonts w:ascii="Tahoma" w:hAnsi="Tahoma" w:cs="Tahoma"/>
      <w:sz w:val="16"/>
      <w:szCs w:val="16"/>
    </w:rPr>
  </w:style>
  <w:style w:type="paragraph" w:styleId="StyleHeading1TimesNewRoman14ptItalic" w:customStyle="1">
    <w:name w:val="Style Heading 1 + Times New Roman 14 pt Italic"/>
    <w:basedOn w:val="Heading1"/>
    <w:autoRedefine/>
    <w:qFormat/>
    <w:rsid w:val="0047783a"/>
    <w:pPr>
      <w:numPr>
        <w:ilvl w:val="0"/>
        <w:numId w:val="2"/>
      </w:numPr>
    </w:pPr>
    <w:rPr>
      <w:rFonts w:ascii="Times New Roman" w:hAnsi="Times New Roman"/>
      <w:bCs/>
      <w:iCs/>
      <w:sz w:val="24"/>
      <w:szCs w:val="24"/>
    </w:rPr>
  </w:style>
  <w:style w:type="paragraph" w:styleId="StyleHeading3" w:customStyle="1">
    <w:name w:val="Style Heading 3"/>
    <w:basedOn w:val="Normal"/>
    <w:qFormat/>
    <w:rsid w:val="0047783a"/>
    <w:pPr>
      <w:tabs>
        <w:tab w:val="clear" w:pos="720"/>
        <w:tab w:val="left" w:pos="567" w:leader="none"/>
      </w:tabs>
      <w:ind w:hanging="567" w:left="1134"/>
    </w:pPr>
    <w:rPr/>
  </w:style>
  <w:style w:type="paragraph" w:styleId="Style11ptBlackJustifiedRight001cmBefore865ptL" w:customStyle="1">
    <w:name w:val="Style 11 pt Black Justified Right:  001 cm Before:  865 pt L..."/>
    <w:basedOn w:val="Normal"/>
    <w:next w:val="Normal"/>
    <w:autoRedefine/>
    <w:qFormat/>
    <w:rsid w:val="0047783a"/>
    <w:pPr>
      <w:numPr>
        <w:ilvl w:val="0"/>
        <w:numId w:val="3"/>
      </w:numPr>
      <w:shd w:val="clear" w:color="auto" w:fill="FFFFFF"/>
      <w:tabs>
        <w:tab w:val="clear" w:pos="720"/>
        <w:tab w:val="right" w:pos="1701" w:leader="none"/>
      </w:tabs>
      <w:spacing w:lineRule="exact" w:line="212" w:before="60" w:after="120"/>
      <w:ind w:right="6"/>
      <w:jc w:val="both"/>
    </w:pPr>
    <w:rPr>
      <w:rFonts w:ascii="Times New Roman" w:hAnsi="Times New Roman"/>
      <w:color w:val="000000"/>
      <w:sz w:val="22"/>
      <w:lang w:eastAsia="en-GB"/>
    </w:rPr>
  </w:style>
  <w:style w:type="paragraph" w:styleId="EndnoteText">
    <w:name w:val="endnote text"/>
    <w:basedOn w:val="Normal"/>
    <w:semiHidden/>
    <w:rsid w:val="0047783a"/>
    <w:pPr/>
    <w:rPr/>
  </w:style>
  <w:style w:type="paragraph" w:styleId="NormalInd1" w:customStyle="1">
    <w:name w:val="Normal Ind 1"/>
    <w:basedOn w:val="Normal"/>
    <w:qFormat/>
    <w:rsid w:val="0047783a"/>
    <w:pPr>
      <w:tabs>
        <w:tab w:val="clear" w:pos="720"/>
        <w:tab w:val="left" w:pos="2268" w:leader="none"/>
      </w:tabs>
      <w:overflowPunct w:val="false"/>
      <w:spacing w:before="0" w:after="0"/>
      <w:ind w:left="567"/>
      <w:textAlignment w:val="baseline"/>
    </w:pPr>
    <w:rPr>
      <w:rFonts w:ascii="Times New Roman" w:hAnsi="Times New Roman"/>
      <w:bCs/>
      <w:sz w:val="22"/>
      <w:szCs w:val="22"/>
      <w:lang w:val="fr-FR"/>
    </w:rPr>
  </w:style>
  <w:style w:type="paragraph" w:styleId="Char2" w:customStyle="1">
    <w:name w:val="Char2"/>
    <w:basedOn w:val="Normal"/>
    <w:qFormat/>
    <w:rsid w:val="0047783a"/>
    <w:pPr>
      <w:spacing w:lineRule="exact" w:line="240" w:before="0" w:after="160"/>
    </w:pPr>
    <w:rPr>
      <w:rFonts w:ascii="Tahoma" w:hAnsi="Tahoma"/>
      <w:lang w:val="en-US"/>
    </w:rPr>
  </w:style>
  <w:style w:type="paragraph" w:styleId="CommentText">
    <w:name w:val="annotation text"/>
    <w:basedOn w:val="Normal"/>
    <w:link w:val="CommentTextChar"/>
    <w:uiPriority w:val="99"/>
    <w:semiHidden/>
    <w:rsid w:val="00ee23b1"/>
    <w:pPr/>
    <w:rPr/>
  </w:style>
  <w:style w:type="paragraph" w:styleId="annotationsubject">
    <w:name w:val="annotation subject"/>
    <w:basedOn w:val="CommentText"/>
    <w:next w:val="CommentText"/>
    <w:semiHidden/>
    <w:qFormat/>
    <w:rsid w:val="00ee23b1"/>
    <w:pPr/>
    <w:rPr>
      <w:b/>
      <w:bCs/>
    </w:rPr>
  </w:style>
  <w:style w:type="paragraph" w:styleId="ListNumber">
    <w:name w:val="List Number"/>
    <w:basedOn w:val="Normal"/>
    <w:rsid w:val="00eb45cb"/>
    <w:pPr>
      <w:numPr>
        <w:ilvl w:val="0"/>
        <w:numId w:val="4"/>
      </w:numPr>
      <w:spacing w:before="0" w:after="240"/>
      <w:jc w:val="both"/>
    </w:pPr>
    <w:rPr>
      <w:rFonts w:ascii="Times New Roman" w:hAnsi="Times New Roman"/>
      <w:sz w:val="24"/>
    </w:rPr>
  </w:style>
  <w:style w:type="paragraph" w:styleId="ListNumberLevel2" w:customStyle="1">
    <w:name w:val="List Number (Level 2)"/>
    <w:basedOn w:val="Normal"/>
    <w:qFormat/>
    <w:rsid w:val="00eb45cb"/>
    <w:pPr>
      <w:numPr>
        <w:ilvl w:val="1"/>
        <w:numId w:val="4"/>
      </w:numPr>
      <w:spacing w:before="0" w:after="240"/>
      <w:jc w:val="both"/>
    </w:pPr>
    <w:rPr>
      <w:rFonts w:ascii="Times New Roman" w:hAnsi="Times New Roman"/>
      <w:sz w:val="24"/>
    </w:rPr>
  </w:style>
  <w:style w:type="paragraph" w:styleId="ListNumberLevel3" w:customStyle="1">
    <w:name w:val="List Number (Level 3)"/>
    <w:basedOn w:val="Normal"/>
    <w:qFormat/>
    <w:rsid w:val="00eb45cb"/>
    <w:pPr>
      <w:numPr>
        <w:ilvl w:val="2"/>
        <w:numId w:val="4"/>
      </w:numPr>
      <w:spacing w:before="0" w:after="240"/>
      <w:jc w:val="both"/>
    </w:pPr>
    <w:rPr>
      <w:rFonts w:ascii="Times New Roman" w:hAnsi="Times New Roman"/>
      <w:sz w:val="24"/>
    </w:rPr>
  </w:style>
  <w:style w:type="paragraph" w:styleId="ListNumberLevel4" w:customStyle="1">
    <w:name w:val="List Number (Level 4)"/>
    <w:basedOn w:val="Normal"/>
    <w:qFormat/>
    <w:rsid w:val="00eb45cb"/>
    <w:pPr>
      <w:numPr>
        <w:ilvl w:val="3"/>
        <w:numId w:val="4"/>
      </w:numPr>
      <w:spacing w:before="0" w:after="240"/>
      <w:jc w:val="both"/>
    </w:pPr>
    <w:rPr>
      <w:rFonts w:ascii="Times New Roman" w:hAnsi="Times New Roman"/>
      <w:sz w:val="24"/>
    </w:rPr>
  </w:style>
  <w:style w:type="paragraph" w:styleId="Revision">
    <w:name w:val="Revision"/>
    <w:uiPriority w:val="99"/>
    <w:semiHidden/>
    <w:qFormat/>
    <w:rsid w:val="00ab3a36"/>
    <w:pPr>
      <w:widowControl/>
      <w:suppressAutoHyphens w:val="true"/>
      <w:bidi w:val="0"/>
      <w:spacing w:before="0" w:after="0"/>
      <w:jc w:val="left"/>
    </w:pPr>
    <w:rPr>
      <w:rFonts w:ascii="Arial" w:hAnsi="Arial" w:eastAsia="Times New Roman" w:cs="Times New Roman"/>
      <w:color w:val="auto"/>
      <w:kern w:val="0"/>
      <w:sz w:val="20"/>
      <w:szCs w:val="20"/>
      <w:lang w:val="en-GB" w:eastAsia="en-US" w:bidi="ar-SA"/>
    </w:rPr>
  </w:style>
  <w:style w:type="paragraph" w:styleId="Default" w:customStyle="1">
    <w:name w:val="Default"/>
    <w:qFormat/>
    <w:rsid w:val="00e76535"/>
    <w:pPr>
      <w:widowControl/>
      <w:suppressAutoHyphens w:val="true"/>
      <w:bidi w:val="0"/>
      <w:spacing w:before="0" w:after="0"/>
      <w:jc w:val="left"/>
    </w:pPr>
    <w:rPr>
      <w:rFonts w:ascii="Times New Roman" w:hAnsi="Times New Roman" w:eastAsia="Times New Roman" w:cs="Times New Roman"/>
      <w:color w:val="000000"/>
      <w:kern w:val="0"/>
      <w:sz w:val="24"/>
      <w:szCs w:val="24"/>
      <w:lang w:val="en-GB" w:eastAsia="en-GB" w:bidi="ar-SA"/>
    </w:rPr>
  </w:style>
  <w:style w:type="paragraph" w:styleId="ListParagraph">
    <w:name w:val="List Paragraph"/>
    <w:basedOn w:val="Normal"/>
    <w:uiPriority w:val="34"/>
    <w:qFormat/>
    <w:rsid w:val="00583ff3"/>
    <w:pPr>
      <w:spacing w:before="0" w:after="0"/>
      <w:ind w:left="720"/>
    </w:pPr>
    <w:rPr>
      <w:rFonts w:ascii="Calibri" w:hAnsi="Calibri" w:eastAsia="Calibri"/>
      <w:sz w:val="22"/>
      <w:szCs w:val="22"/>
    </w:rPr>
  </w:style>
  <w:style w:type="paragraph" w:styleId="Text1" w:customStyle="1">
    <w:name w:val="Text 1"/>
    <w:basedOn w:val="Normal"/>
    <w:qFormat/>
    <w:rsid w:val="00f0405c"/>
    <w:pPr>
      <w:spacing w:before="0" w:after="240"/>
      <w:ind w:left="482"/>
      <w:jc w:val="both"/>
    </w:pPr>
    <w:rPr>
      <w:rFonts w:ascii="Times New Roman" w:hAnsi="Times New Roman" w:eastAsia="Calibri"/>
      <w:sz w:val="24"/>
      <w:szCs w:val="24"/>
    </w:rPr>
  </w:style>
  <w:style w:type="paragraph" w:styleId="paragraph" w:customStyle="1">
    <w:name w:val="paragraph"/>
    <w:basedOn w:val="Normal"/>
    <w:qFormat/>
    <w:rsid w:val="003f3783"/>
    <w:pPr>
      <w:spacing w:beforeAutospacing="1" w:afterAutospacing="1"/>
    </w:pPr>
    <w:rPr>
      <w:rFonts w:ascii="Times New Roman" w:hAnsi="Times New Roman"/>
      <w:sz w:val="24"/>
      <w:szCs w:val="24"/>
      <w:lang w:val="fr-BE" w:eastAsia="fr-BE"/>
    </w:rPr>
  </w:style>
  <w:style w:type="paragraph" w:styleId="NormalWeb">
    <w:name w:val="Normal (Web)"/>
    <w:basedOn w:val="Normal"/>
    <w:uiPriority w:val="99"/>
    <w:unhideWhenUsed/>
    <w:qFormat/>
    <w:rsid w:val="00a571bf"/>
    <w:pPr>
      <w:spacing w:beforeAutospacing="1" w:afterAutospacing="1"/>
    </w:pPr>
    <w:rPr>
      <w:rFonts w:ascii="Times New Roman" w:hAnsi="Times New Roman"/>
      <w:sz w:val="24"/>
      <w:szCs w:val="24"/>
      <w:lang w:val="mk-MK" w:eastAsia="mk-MK"/>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f90a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c.europa.eu/europeaid/funding/communication-and-visibility-manual-eu-external-actions_en" TargetMode="External"/><Relationship Id="rId3"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iccwbo.org/incoterms/"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5B7ED-67BE-46AA-9A80-221A7F9A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Application>LibreOffice/25.8.6.2$Windows_X86_64 LibreOffice_project/b4b39682cd9868fa725bc664aff94278d315bd04</Application>
  <AppVersion>15.0000</AppVersion>
  <Pages>7</Pages>
  <Words>2517</Words>
  <Characters>14369</Characters>
  <CharactersWithSpaces>16699</CharactersWithSpaces>
  <Paragraphs>196</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2018-12-18T11:40:00Z</dcterms:created>
  <dc:creator>ENGSTROM</dc:creator>
  <dc:description/>
  <dc:language>en-US</dc:language>
  <cp:lastModifiedBy/>
  <cp:lastPrinted>2026-02-27T07:35:00Z</cp:lastPrinted>
  <dcterms:modified xsi:type="dcterms:W3CDTF">2026-05-27T12:04:22Z</dcterms:modified>
  <cp:revision>129</cp:revision>
  <dc:subject/>
  <dc:title>INSTRUCTIONS TO TENDERERS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ActionId">
    <vt:lpwstr>80bce80d-9a0a-4ba6-ad51-296613edf76f</vt:lpwstr>
  </property>
  <property fmtid="{D5CDD505-2E9C-101B-9397-08002B2CF9AE}" pid="4" name="MSIP_Label_6bd9ddd1-4d20-43f6-abfa-fc3c07406f94_ContentBits">
    <vt:lpwstr>0</vt:lpwstr>
  </property>
  <property fmtid="{D5CDD505-2E9C-101B-9397-08002B2CF9AE}" pid="5" name="MSIP_Label_6bd9ddd1-4d20-43f6-abfa-fc3c07406f94_Enabled">
    <vt:lpwstr>true</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etDate">
    <vt:lpwstr>2023-01-30T14:59:56Z</vt:lpwstr>
  </property>
  <property fmtid="{D5CDD505-2E9C-101B-9397-08002B2CF9AE}" pid="9" name="MSIP_Label_6bd9ddd1-4d20-43f6-abfa-fc3c07406f94_SiteId">
    <vt:lpwstr>b24c8b06-522c-46fe-9080-70926f8dddb1</vt:lpwstr>
  </property>
</Properties>
</file>